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FDB1E">
      <w:pPr>
        <w:keepNext w:val="0"/>
        <w:keepLines w:val="0"/>
        <w:pageBreakBefore w:val="0"/>
        <w:widowControl w:val="0"/>
        <w:kinsoku/>
        <w:wordWrap/>
        <w:overflowPunct/>
        <w:topLinePunct w:val="0"/>
        <w:autoSpaceDE/>
        <w:autoSpaceDN/>
        <w:bidi w:val="0"/>
        <w:adjustRightInd/>
        <w:snapToGrid w:val="0"/>
        <w:spacing w:line="312" w:lineRule="auto"/>
        <w:jc w:val="left"/>
        <w:textAlignment w:val="auto"/>
        <w:outlineLvl w:val="2"/>
        <w:rPr>
          <w:rFonts w:hint="eastAsia" w:ascii="黑体" w:hAnsi="黑体" w:eastAsia="黑体" w:cs="黑体"/>
          <w:b/>
          <w:bCs/>
          <w:spacing w:val="-4"/>
          <w:sz w:val="36"/>
          <w:szCs w:val="36"/>
          <w:lang w:val="en-US" w:eastAsia="zh-CN"/>
        </w:rPr>
      </w:pPr>
      <w:bookmarkStart w:id="7" w:name="_GoBack"/>
      <w:bookmarkEnd w:id="7"/>
      <w:bookmarkStart w:id="0" w:name="_Toc23693"/>
      <w:r>
        <w:rPr>
          <w:rFonts w:hint="eastAsia" w:ascii="黑体" w:hAnsi="黑体" w:eastAsia="黑体" w:cs="黑体"/>
          <w:b/>
          <w:bCs/>
          <w:spacing w:val="-4"/>
          <w:sz w:val="36"/>
          <w:szCs w:val="36"/>
        </w:rPr>
        <w:t>附件</w:t>
      </w:r>
      <w:bookmarkEnd w:id="0"/>
      <w:r>
        <w:rPr>
          <w:rFonts w:hint="eastAsia" w:ascii="黑体" w:hAnsi="黑体" w:eastAsia="黑体" w:cs="黑体"/>
          <w:b/>
          <w:bCs/>
          <w:spacing w:val="-4"/>
          <w:sz w:val="36"/>
          <w:szCs w:val="36"/>
          <w:lang w:val="en-US" w:eastAsia="zh-CN"/>
        </w:rPr>
        <w:t>7</w:t>
      </w:r>
    </w:p>
    <w:p w14:paraId="51F5874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b/>
          <w:bCs/>
          <w:spacing w:val="-4"/>
          <w:sz w:val="36"/>
          <w:szCs w:val="36"/>
        </w:rPr>
      </w:pPr>
      <w:r>
        <w:rPr>
          <w:rFonts w:hint="eastAsia" w:ascii="黑体" w:hAnsi="黑体" w:eastAsia="黑体" w:cs="黑体"/>
          <w:b/>
          <w:bCs/>
          <w:spacing w:val="-4"/>
          <w:sz w:val="36"/>
          <w:szCs w:val="36"/>
          <w:lang w:val="en-US" w:eastAsia="zh-CN"/>
        </w:rPr>
        <w:t>2026年度广西优质建筑装饰工程</w:t>
      </w:r>
      <w:r>
        <w:rPr>
          <w:rFonts w:hint="eastAsia" w:ascii="黑体" w:hAnsi="黑体" w:eastAsia="黑体" w:cs="黑体"/>
          <w:b/>
          <w:bCs/>
          <w:spacing w:val="-4"/>
          <w:sz w:val="36"/>
          <w:szCs w:val="36"/>
        </w:rPr>
        <w:t>复查实施细则</w:t>
      </w:r>
    </w:p>
    <w:p w14:paraId="6AE5244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val="0"/>
          <w:bCs w:val="0"/>
          <w:spacing w:val="-4"/>
          <w:sz w:val="30"/>
          <w:szCs w:val="30"/>
        </w:rPr>
      </w:pP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公共建筑装饰类</w:t>
      </w:r>
      <w:r>
        <w:rPr>
          <w:rFonts w:hint="eastAsia" w:ascii="黑体" w:hAnsi="黑体" w:eastAsia="黑体" w:cs="黑体"/>
          <w:b w:val="0"/>
          <w:bCs w:val="0"/>
          <w:spacing w:val="-4"/>
          <w:sz w:val="30"/>
          <w:szCs w:val="30"/>
          <w:lang w:eastAsia="zh-CN"/>
        </w:rPr>
        <w:t>）[装修</w:t>
      </w:r>
      <w:r>
        <w:rPr>
          <w:rFonts w:hint="eastAsia" w:ascii="黑体" w:hAnsi="黑体" w:eastAsia="黑体" w:cs="黑体"/>
          <w:b w:val="0"/>
          <w:bCs w:val="0"/>
          <w:spacing w:val="-4"/>
          <w:sz w:val="30"/>
          <w:szCs w:val="30"/>
        </w:rPr>
        <w:t>景观工程]</w:t>
      </w:r>
    </w:p>
    <w:p w14:paraId="56E4311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heme="majorEastAsia" w:hAnsiTheme="majorEastAsia" w:eastAsiaTheme="majorEastAsia" w:cstheme="majorEastAsia"/>
          <w:b w:val="0"/>
          <w:bCs w:val="0"/>
          <w:spacing w:val="-4"/>
          <w:sz w:val="28"/>
          <w:szCs w:val="28"/>
        </w:rPr>
      </w:pPr>
    </w:p>
    <w:p w14:paraId="47A147B0">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color w:val="auto"/>
          <w:sz w:val="24"/>
          <w:szCs w:val="24"/>
        </w:rPr>
      </w:pPr>
      <w:bookmarkStart w:id="1" w:name="_Toc30052"/>
      <w:r>
        <w:rPr>
          <w:rFonts w:hint="eastAsia" w:ascii="宋体" w:hAnsi="宋体" w:eastAsia="宋体" w:cs="宋体"/>
          <w:b/>
          <w:bCs w:val="0"/>
          <w:sz w:val="24"/>
          <w:szCs w:val="24"/>
        </w:rPr>
        <w:t>评分标准及要求：</w:t>
      </w:r>
      <w:bookmarkEnd w:id="1"/>
    </w:p>
    <w:p w14:paraId="1E3C41F7">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26F2A29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装修</w:t>
      </w:r>
      <w:r>
        <w:rPr>
          <w:rFonts w:hint="eastAsia" w:ascii="宋体" w:hAnsi="宋体" w:eastAsia="宋体" w:cs="宋体"/>
          <w:color w:val="auto"/>
          <w:sz w:val="24"/>
          <w:szCs w:val="24"/>
        </w:rPr>
        <w:t>景观工程：工程合同金额或结算金额不低于</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万元人民币且面积不低于</w:t>
      </w:r>
      <w:r>
        <w:rPr>
          <w:rFonts w:hint="eastAsia" w:ascii="宋体" w:hAnsi="宋体" w:eastAsia="宋体" w:cs="宋体"/>
          <w:color w:val="auto"/>
          <w:sz w:val="24"/>
          <w:szCs w:val="24"/>
          <w:lang w:val="en-US" w:eastAsia="zh-CN"/>
        </w:rPr>
        <w:t>3000</w:t>
      </w:r>
      <w:r>
        <w:rPr>
          <w:rFonts w:hint="eastAsia" w:ascii="宋体" w:hAnsi="宋体" w:eastAsia="宋体" w:cs="宋体"/>
          <w:sz w:val="24"/>
          <w:szCs w:val="24"/>
        </w:rPr>
        <w:t>㎡（不含纯绿化种植项目）。</w:t>
      </w:r>
    </w:p>
    <w:p w14:paraId="7E2D221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在资料、硬质工程、绿化工程、安装工程及其它、新技术、总体印象等几个方面的常见问题、质量通病和涉及安全与使用的问题，结合复查中查出的问题进行评分。项目复查总分为100分，详细分项和评分标准见《工程复查实施细则——公共建筑装饰类（</w:t>
      </w:r>
      <w:r>
        <w:rPr>
          <w:rFonts w:hint="eastAsia" w:ascii="宋体" w:hAnsi="宋体" w:eastAsia="宋体" w:cs="宋体"/>
          <w:sz w:val="24"/>
          <w:szCs w:val="24"/>
          <w:lang w:eastAsia="zh-CN"/>
        </w:rPr>
        <w:t>装修</w:t>
      </w:r>
      <w:r>
        <w:rPr>
          <w:rFonts w:hint="eastAsia" w:ascii="宋体" w:hAnsi="宋体" w:eastAsia="宋体" w:cs="宋体"/>
          <w:sz w:val="24"/>
          <w:szCs w:val="24"/>
        </w:rPr>
        <w:t>景观工程）》。</w:t>
      </w:r>
    </w:p>
    <w:p w14:paraId="5DC7975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w:t>
      </w:r>
    </w:p>
    <w:p w14:paraId="1DBFF11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r>
        <w:rPr>
          <w:rFonts w:hint="eastAsia" w:ascii="宋体" w:hAnsi="宋体" w:eastAsia="宋体" w:cs="宋体"/>
          <w:sz w:val="24"/>
          <w:szCs w:val="24"/>
          <w:lang w:eastAsia="zh-CN"/>
        </w:rPr>
        <w:t>。</w:t>
      </w:r>
    </w:p>
    <w:p w14:paraId="35E0C11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申报单位需重视对工程安全隐患的排查及相关必要文件的准备，要求企业申报前对涉及安全、结构、隐蔽资料等方面的情况进行自查，使其符合相应的国家强制性规范和标准以及复查的要求。</w:t>
      </w:r>
    </w:p>
    <w:p w14:paraId="42DFF85D">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sz w:val="24"/>
          <w:szCs w:val="24"/>
        </w:rPr>
      </w:pPr>
      <w:bookmarkStart w:id="2" w:name="_Toc13071"/>
      <w:r>
        <w:rPr>
          <w:rFonts w:hint="eastAsia" w:ascii="宋体" w:hAnsi="宋体" w:eastAsia="宋体" w:cs="宋体"/>
          <w:b/>
          <w:bCs/>
          <w:sz w:val="24"/>
          <w:szCs w:val="24"/>
        </w:rPr>
        <w:t>二、申报项目的主要范围和复查重点</w:t>
      </w:r>
      <w:bookmarkEnd w:id="2"/>
    </w:p>
    <w:p w14:paraId="44E36ED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装修</w:t>
      </w:r>
      <w:r>
        <w:rPr>
          <w:rFonts w:hint="eastAsia" w:ascii="宋体" w:hAnsi="宋体" w:eastAsia="宋体" w:cs="宋体"/>
          <w:sz w:val="24"/>
          <w:szCs w:val="24"/>
        </w:rPr>
        <w:t>景观装饰工程主要</w:t>
      </w:r>
      <w:r>
        <w:rPr>
          <w:rFonts w:hint="eastAsia" w:ascii="宋体" w:hAnsi="宋体" w:eastAsia="宋体" w:cs="宋体"/>
          <w:bCs/>
          <w:sz w:val="24"/>
          <w:szCs w:val="24"/>
        </w:rPr>
        <w:t>包括城市公共建筑景观（城市广场、商业街、办公环境等）、居住区景观、庭院景观、城市公园景观、文旅及专项景观等，不含纯绿化种植项目</w:t>
      </w:r>
      <w:r>
        <w:rPr>
          <w:rFonts w:hint="eastAsia" w:ascii="宋体" w:hAnsi="宋体" w:eastAsia="宋体" w:cs="宋体"/>
          <w:sz w:val="24"/>
          <w:szCs w:val="24"/>
        </w:rPr>
        <w:t>。工程应有相关部门施工许可文件、施工过程文件、竣工验收或备案文件等。景观装饰工程的复查重点应为景观设计创意、配套建筑装饰、综合绿化、雕塑、道路、水系、灯光、音响、排水、休闲、交流组织、环保、节能和运用新生物技术等方面，同时要满足紧急情况下的泄爆与疏散等要求。</w:t>
      </w:r>
    </w:p>
    <w:p w14:paraId="419D666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3" w:name="_Toc13931"/>
      <w:r>
        <w:rPr>
          <w:rFonts w:hint="eastAsia" w:ascii="宋体" w:hAnsi="宋体" w:eastAsia="宋体" w:cs="宋体"/>
          <w:b/>
          <w:bCs w:val="0"/>
          <w:sz w:val="24"/>
          <w:szCs w:val="24"/>
        </w:rPr>
        <w:t>三、主要执行规范和标准：</w:t>
      </w:r>
      <w:bookmarkEnd w:id="3"/>
    </w:p>
    <w:p w14:paraId="3F70D27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1.《混凝土外加剂》GB8076-2008</w:t>
      </w:r>
    </w:p>
    <w:p w14:paraId="50603E2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2.土工合成材料聚乙烯土工膜》GB/T17643-2011</w:t>
      </w:r>
    </w:p>
    <w:p w14:paraId="7D8E59E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3.《喷灌工程技术规范》GB/T50085-2007</w:t>
      </w:r>
    </w:p>
    <w:p w14:paraId="47E0CAB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4.《混凝土强度检验评定标准》GB/T50107-2019</w:t>
      </w:r>
    </w:p>
    <w:p w14:paraId="0867E0B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5.《混凝土外加剂应用技术规范》GB50119-2013</w:t>
      </w:r>
    </w:p>
    <w:p w14:paraId="78FED89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6.《给水排水构筑物工程施工及验收规范》GB50141-2008</w:t>
      </w:r>
    </w:p>
    <w:p w14:paraId="04D181D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4" w:name="_Toc14444"/>
      <w:r>
        <w:rPr>
          <w:rFonts w:hint="eastAsia" w:ascii="宋体" w:hAnsi="宋体" w:eastAsia="宋体" w:cs="宋体"/>
          <w:sz w:val="24"/>
          <w:szCs w:val="24"/>
        </w:rPr>
        <w:t>7.《屋面工程质量验收规范》GB50207-2012</w:t>
      </w:r>
      <w:bookmarkEnd w:id="4"/>
    </w:p>
    <w:p w14:paraId="6831D7C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8.《建筑给水排水及采暖工程施工质量验收规范》GB50242-2002</w:t>
      </w:r>
    </w:p>
    <w:p w14:paraId="22D1266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9.《给水排水管道工程施工及验收规范》GB50268-2008</w:t>
      </w:r>
    </w:p>
    <w:p w14:paraId="66D6A76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10.《屋面工程技术规范》GB50345-2012</w:t>
      </w:r>
    </w:p>
    <w:p w14:paraId="34E166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11.《微灌工程技术标准》GB/T50485-2020</w:t>
      </w:r>
    </w:p>
    <w:p w14:paraId="7FE40A0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12.《公园设计规范》GB51192-2016</w:t>
      </w:r>
    </w:p>
    <w:p w14:paraId="5BEB22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13.《城镇道路工程施工与质量验收规范》CJJ1-2008</w:t>
      </w:r>
    </w:p>
    <w:p w14:paraId="1694085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14.《城镇道路养护技术规范》CJJ36-2016</w:t>
      </w:r>
    </w:p>
    <w:p w14:paraId="54EA935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15.《园林绿化工程施工及验收规范》CJJ82-2012</w:t>
      </w:r>
    </w:p>
    <w:p w14:paraId="607F63D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16.《透水水泥混凝土路面技术规程》CJJ/T135-2009</w:t>
      </w:r>
    </w:p>
    <w:p w14:paraId="44711FC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5" w:name="_Toc2717"/>
      <w:r>
        <w:rPr>
          <w:rFonts w:hint="eastAsia" w:ascii="宋体" w:hAnsi="宋体" w:eastAsia="宋体" w:cs="宋体"/>
          <w:sz w:val="24"/>
          <w:szCs w:val="24"/>
        </w:rPr>
        <w:t>17.《透水沥青路面技术规程》CJJ/T190-2012</w:t>
      </w:r>
      <w:bookmarkEnd w:id="5"/>
    </w:p>
    <w:p w14:paraId="1F00091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18.《园林绿化工程盐碱地改良技术标准》CJJ/T283-2018</w:t>
      </w:r>
    </w:p>
    <w:p w14:paraId="2C86287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19.《园林绿化养护标准》CJJ/T287-2018</w:t>
      </w:r>
    </w:p>
    <w:p w14:paraId="2CE3B41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20.《水工挡土墙设计规范》SL379-2007</w:t>
      </w:r>
    </w:p>
    <w:p w14:paraId="1AC219E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21.《种植屋面工程技术规程》JGJ155-2013</w:t>
      </w:r>
    </w:p>
    <w:p w14:paraId="36C4D7D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22.《海绵城市基础设施施工与质量验收标准》T/CCIAT0014-2019</w:t>
      </w:r>
    </w:p>
    <w:p w14:paraId="279C495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23.《模块化雨水利用系统应用技术规程》T/CECS543-2018</w:t>
      </w:r>
    </w:p>
    <w:p w14:paraId="57BB03D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24.《暗管改良盐碱地技术规程第2部分:规划设计与施工》TD/T1043.2-2013注：上文未列的标准、规范以国家、行业、团体现行标准、规范为准。</w:t>
      </w:r>
    </w:p>
    <w:p w14:paraId="7876CDE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p>
    <w:p w14:paraId="52321E78">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eastAsia="宋体" w:cs="宋体"/>
          <w:sz w:val="24"/>
          <w:szCs w:val="24"/>
        </w:rPr>
        <w:sectPr>
          <w:footerReference r:id="rId3" w:type="default"/>
          <w:pgSz w:w="11906" w:h="16838"/>
          <w:pgMar w:top="1440" w:right="1247" w:bottom="1440" w:left="1587" w:header="850" w:footer="992" w:gutter="0"/>
          <w:pgNumType w:fmt="numberInDash"/>
          <w:cols w:space="0" w:num="1"/>
          <w:rtlGutter w:val="0"/>
          <w:docGrid w:type="lines" w:linePitch="312" w:charSpace="0"/>
        </w:sectPr>
      </w:pPr>
    </w:p>
    <w:p w14:paraId="070DA58D">
      <w:pPr>
        <w:jc w:val="center"/>
        <w:outlineLvl w:val="1"/>
        <w:rPr>
          <w:rFonts w:ascii="宋体" w:hAnsi="宋体"/>
          <w:bCs/>
          <w:sz w:val="10"/>
          <w:szCs w:val="10"/>
        </w:rPr>
      </w:pPr>
      <w:bookmarkStart w:id="6" w:name="_Toc22050"/>
      <w:r>
        <w:rPr>
          <w:rFonts w:hint="eastAsia" w:ascii="黑体" w:hAnsi="黑体" w:eastAsia="黑体"/>
          <w:b/>
          <w:bCs/>
          <w:sz w:val="30"/>
          <w:szCs w:val="30"/>
        </w:rPr>
        <w:t>四、工程复查实施细则</w:t>
      </w:r>
      <w:r>
        <w:rPr>
          <w:rFonts w:hint="eastAsia" w:ascii="宋体" w:hAnsi="宋体"/>
          <w:bCs/>
          <w:sz w:val="30"/>
          <w:szCs w:val="30"/>
        </w:rPr>
        <w:t>——公共建筑装饰类（</w:t>
      </w:r>
      <w:r>
        <w:rPr>
          <w:rFonts w:hint="eastAsia" w:ascii="宋体" w:hAnsi="宋体"/>
          <w:bCs/>
          <w:sz w:val="30"/>
          <w:szCs w:val="30"/>
          <w:lang w:eastAsia="zh-CN"/>
        </w:rPr>
        <w:t>装修</w:t>
      </w:r>
      <w:r>
        <w:rPr>
          <w:rFonts w:hint="eastAsia" w:ascii="宋体" w:hAnsi="宋体"/>
          <w:bCs/>
          <w:sz w:val="30"/>
          <w:szCs w:val="30"/>
        </w:rPr>
        <w:t>景观工程）</w:t>
      </w:r>
      <w:bookmarkEnd w:id="6"/>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6191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62F044E4">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AD35787">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E16CC27">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63FA3BF">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7500C3D">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84E34C2">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CCEEBD">
            <w:pPr>
              <w:snapToGrid w:val="0"/>
              <w:spacing w:line="288" w:lineRule="auto"/>
              <w:jc w:val="center"/>
              <w:rPr>
                <w:b/>
                <w:bCs/>
                <w:sz w:val="24"/>
              </w:rPr>
            </w:pPr>
            <w:r>
              <w:rPr>
                <w:rFonts w:hint="eastAsia"/>
                <w:b/>
                <w:bCs/>
                <w:sz w:val="24"/>
              </w:rPr>
              <w:t>复查方法</w:t>
            </w:r>
          </w:p>
        </w:tc>
      </w:tr>
      <w:tr w14:paraId="5A33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567" w:type="dxa"/>
            <w:vMerge w:val="restart"/>
            <w:tcBorders>
              <w:top w:val="single" w:color="auto" w:sz="4" w:space="0"/>
              <w:left w:val="single" w:color="auto" w:sz="4" w:space="0"/>
              <w:right w:val="single" w:color="auto" w:sz="4" w:space="0"/>
            </w:tcBorders>
            <w:noWrap w:val="0"/>
            <w:vAlign w:val="center"/>
          </w:tcPr>
          <w:p w14:paraId="78225A7C">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14:paraId="7DAC028A">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41F74AD">
            <w:pPr>
              <w:snapToGrid w:val="0"/>
              <w:spacing w:line="276" w:lineRule="auto"/>
              <w:rPr>
                <w:rFonts w:ascii="黑体" w:hAnsi="黑体" w:eastAsia="黑体"/>
                <w:szCs w:val="21"/>
              </w:rPr>
            </w:pPr>
            <w:r>
              <w:rPr>
                <w:rFonts w:hint="eastAsia" w:ascii="黑体" w:hAnsi="黑体" w:eastAsia="黑体"/>
                <w:szCs w:val="21"/>
              </w:rPr>
              <w:t>必要文件：</w:t>
            </w:r>
          </w:p>
          <w:p w14:paraId="1EFB9E79">
            <w:pPr>
              <w:pStyle w:val="2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企业营业执照、资质等级证书、安全生产许可证（此三项上一年度参评的单位可提供在有效期内的加盖本单位公章的复印件）；</w:t>
            </w:r>
          </w:p>
          <w:p w14:paraId="4064EB89">
            <w:pPr>
              <w:pStyle w:val="2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项目经理注册建造师证书、安全生产考核合格证书；</w:t>
            </w:r>
          </w:p>
          <w:p w14:paraId="4B158D0B">
            <w:pPr>
              <w:pStyle w:val="24"/>
              <w:snapToGrid w:val="0"/>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工程相关施工许可文件；</w:t>
            </w:r>
          </w:p>
          <w:p w14:paraId="3AA18115">
            <w:pPr>
              <w:pStyle w:val="24"/>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施工合同；</w:t>
            </w:r>
          </w:p>
          <w:p w14:paraId="5AB07C42">
            <w:pPr>
              <w:pStyle w:val="24"/>
              <w:snapToGrid w:val="0"/>
              <w:spacing w:line="276"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工程结算报告或结算金额证明；</w:t>
            </w:r>
          </w:p>
          <w:p w14:paraId="5031D579">
            <w:pPr>
              <w:pStyle w:val="24"/>
              <w:snapToGrid w:val="0"/>
              <w:spacing w:line="276"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工程竣工验收文件。</w:t>
            </w:r>
          </w:p>
        </w:tc>
        <w:tc>
          <w:tcPr>
            <w:tcW w:w="2409" w:type="dxa"/>
            <w:tcBorders>
              <w:top w:val="single" w:color="auto" w:sz="4" w:space="0"/>
              <w:left w:val="single" w:color="auto" w:sz="4" w:space="0"/>
              <w:right w:val="single" w:color="auto" w:sz="4" w:space="0"/>
            </w:tcBorders>
            <w:noWrap w:val="0"/>
            <w:vAlign w:val="center"/>
          </w:tcPr>
          <w:p w14:paraId="517C7F9E">
            <w:pPr>
              <w:snapToGrid w:val="0"/>
              <w:spacing w:line="288" w:lineRule="auto"/>
              <w:jc w:val="left"/>
              <w:rPr>
                <w:rFonts w:ascii="宋体" w:hAnsi="宋体"/>
                <w:szCs w:val="21"/>
              </w:rPr>
            </w:pPr>
          </w:p>
          <w:p w14:paraId="6AC0152F">
            <w:pPr>
              <w:pStyle w:val="24"/>
              <w:snapToGrid w:val="0"/>
              <w:spacing w:line="288" w:lineRule="auto"/>
              <w:ind w:firstLine="0" w:firstLineChars="0"/>
              <w:jc w:val="left"/>
              <w:rPr>
                <w:rFonts w:ascii="宋体" w:hAnsi="宋体"/>
                <w:szCs w:val="21"/>
              </w:rPr>
            </w:pPr>
            <w:r>
              <w:rPr>
                <w:rFonts w:hint="eastAsia" w:ascii="宋体" w:hAnsi="宋体"/>
                <w:szCs w:val="21"/>
              </w:rPr>
              <w:t>1.必要文件有一项不合格或不符合要求者不予评审。</w:t>
            </w:r>
          </w:p>
          <w:p w14:paraId="20E6438B">
            <w:pPr>
              <w:snapToGrid w:val="0"/>
              <w:spacing w:line="288" w:lineRule="auto"/>
              <w:jc w:val="left"/>
              <w:rPr>
                <w:rFonts w:ascii="宋体" w:hAnsi="宋体"/>
                <w:szCs w:val="21"/>
              </w:rPr>
            </w:pPr>
          </w:p>
        </w:tc>
        <w:tc>
          <w:tcPr>
            <w:tcW w:w="1701" w:type="dxa"/>
            <w:vMerge w:val="restart"/>
            <w:tcBorders>
              <w:top w:val="single" w:color="auto" w:sz="4" w:space="0"/>
              <w:left w:val="single" w:color="auto" w:sz="4" w:space="0"/>
              <w:right w:val="single" w:color="auto" w:sz="4" w:space="0"/>
            </w:tcBorders>
            <w:noWrap w:val="0"/>
            <w:vAlign w:val="center"/>
          </w:tcPr>
          <w:p w14:paraId="7E5055D4">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14:paraId="66B79F4F">
            <w:pPr>
              <w:snapToGrid w:val="0"/>
              <w:spacing w:line="288" w:lineRule="auto"/>
              <w:jc w:val="left"/>
              <w:rPr>
                <w:rFonts w:ascii="宋体" w:hAnsi="宋体"/>
                <w:szCs w:val="21"/>
              </w:rPr>
            </w:pPr>
            <w:r>
              <w:rPr>
                <w:rFonts w:hint="eastAsia" w:ascii="宋体" w:hAnsi="宋体"/>
                <w:szCs w:val="21"/>
              </w:rPr>
              <w:t>2.景观工程中有配套的装饰施工时需提供相应的资质证明；</w:t>
            </w:r>
          </w:p>
          <w:p w14:paraId="71AD405A">
            <w:pPr>
              <w:snapToGrid w:val="0"/>
              <w:spacing w:line="288" w:lineRule="auto"/>
              <w:jc w:val="left"/>
              <w:rPr>
                <w:rFonts w:ascii="宋体" w:hAnsi="宋体"/>
                <w:szCs w:val="21"/>
              </w:rPr>
            </w:pPr>
            <w:r>
              <w:rPr>
                <w:rFonts w:hint="eastAsia" w:ascii="宋体" w:hAnsi="宋体"/>
                <w:szCs w:val="21"/>
              </w:rPr>
              <w:t>3.涉及工程质量安全、强条项的内容为必查项；</w:t>
            </w:r>
          </w:p>
          <w:p w14:paraId="224E3A4A">
            <w:pPr>
              <w:snapToGrid w:val="0"/>
              <w:spacing w:line="288" w:lineRule="auto"/>
              <w:jc w:val="left"/>
              <w:rPr>
                <w:rFonts w:ascii="宋体" w:hAnsi="宋体"/>
                <w:szCs w:val="21"/>
              </w:rPr>
            </w:pPr>
            <w:r>
              <w:rPr>
                <w:rFonts w:hint="eastAsia" w:ascii="宋体" w:hAnsi="宋体"/>
                <w:szCs w:val="21"/>
              </w:rPr>
              <w:t>4.涉及使用功能的内容为必查项。</w:t>
            </w:r>
          </w:p>
        </w:tc>
        <w:tc>
          <w:tcPr>
            <w:tcW w:w="851" w:type="dxa"/>
            <w:vMerge w:val="restart"/>
            <w:tcBorders>
              <w:top w:val="single" w:color="auto" w:sz="4" w:space="0"/>
              <w:left w:val="single" w:color="auto" w:sz="4" w:space="0"/>
              <w:right w:val="single" w:color="auto" w:sz="4" w:space="0"/>
            </w:tcBorders>
            <w:noWrap w:val="0"/>
            <w:vAlign w:val="center"/>
          </w:tcPr>
          <w:p w14:paraId="25290A34">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14:paraId="43A1A0C4">
            <w:pPr>
              <w:snapToGrid w:val="0"/>
              <w:spacing w:line="276" w:lineRule="auto"/>
              <w:rPr>
                <w:rFonts w:ascii="宋体" w:hAnsi="宋体"/>
                <w:szCs w:val="21"/>
              </w:rPr>
            </w:pPr>
            <w:r>
              <w:rPr>
                <w:rFonts w:hint="eastAsia" w:ascii="宋体" w:hAnsi="宋体"/>
                <w:szCs w:val="21"/>
              </w:rPr>
              <w:t>查：相关文件资料原件或电子证件（提供网查链接）；</w:t>
            </w:r>
          </w:p>
          <w:p w14:paraId="781154F0">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2FAC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14:paraId="2FB19574">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4DFE6F58">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BC1BC4F">
            <w:pPr>
              <w:snapToGrid w:val="0"/>
              <w:spacing w:line="360" w:lineRule="auto"/>
              <w:rPr>
                <w:rFonts w:ascii="黑体" w:hAnsi="黑体" w:eastAsia="黑体"/>
                <w:bCs/>
                <w:szCs w:val="21"/>
              </w:rPr>
            </w:pPr>
            <w:r>
              <w:rPr>
                <w:rFonts w:hint="eastAsia" w:ascii="黑体" w:hAnsi="黑体" w:eastAsia="黑体"/>
                <w:bCs/>
                <w:szCs w:val="21"/>
              </w:rPr>
              <w:t>工程安全证明资料：</w:t>
            </w:r>
          </w:p>
          <w:p w14:paraId="41A13075">
            <w:pPr>
              <w:snapToGrid w:val="0"/>
              <w:spacing w:line="276" w:lineRule="auto"/>
              <w:rPr>
                <w:szCs w:val="21"/>
              </w:rPr>
            </w:pPr>
            <w:r>
              <w:rPr>
                <w:rFonts w:hint="eastAsia"/>
                <w:szCs w:val="21"/>
              </w:rPr>
              <w:t>1</w:t>
            </w:r>
            <w:r>
              <w:rPr>
                <w:szCs w:val="21"/>
              </w:rPr>
              <w:t>.</w:t>
            </w:r>
            <w:r>
              <w:rPr>
                <w:rFonts w:hint="eastAsia"/>
                <w:szCs w:val="21"/>
              </w:rPr>
              <w:t>涉及主体和承重结构改动或增加荷载时，必须具有经原结构设计单位或具备相应资质设计单位的认可文件（需审查原件）；</w:t>
            </w:r>
          </w:p>
          <w:p w14:paraId="0F0C36D0">
            <w:pPr>
              <w:snapToGrid w:val="0"/>
              <w:spacing w:line="276" w:lineRule="auto"/>
              <w:rPr>
                <w:rFonts w:hint="eastAsia"/>
                <w:szCs w:val="21"/>
              </w:rPr>
            </w:pPr>
            <w:r>
              <w:rPr>
                <w:rFonts w:hint="eastAsia"/>
                <w:szCs w:val="21"/>
              </w:rPr>
              <w:t>2</w:t>
            </w:r>
            <w:r>
              <w:rPr>
                <w:szCs w:val="21"/>
              </w:rPr>
              <w:t>.</w:t>
            </w:r>
            <w:r>
              <w:rPr>
                <w:rFonts w:hint="eastAsia"/>
                <w:szCs w:val="21"/>
              </w:rPr>
              <w:t>景墙、墙柱面干挂节点图、拉拔试验报告及其材料合格证、检测报告、隐蔽验收记录等；</w:t>
            </w:r>
          </w:p>
        </w:tc>
        <w:tc>
          <w:tcPr>
            <w:tcW w:w="2409" w:type="dxa"/>
            <w:tcBorders>
              <w:left w:val="single" w:color="auto" w:sz="4" w:space="0"/>
              <w:bottom w:val="single" w:color="auto" w:sz="4" w:space="0"/>
              <w:right w:val="single" w:color="auto" w:sz="4" w:space="0"/>
            </w:tcBorders>
            <w:noWrap w:val="0"/>
            <w:vAlign w:val="center"/>
          </w:tcPr>
          <w:p w14:paraId="7A7D182D">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1.工程安全证明资料第一项不符合的扣</w:t>
            </w:r>
            <w:r>
              <w:rPr>
                <w:rFonts w:hint="eastAsia" w:ascii="宋体" w:hAnsi="宋体" w:eastAsia="宋体" w:cs="Times New Roman"/>
                <w:b w:val="0"/>
                <w:bCs w:val="0"/>
                <w:sz w:val="21"/>
                <w:szCs w:val="21"/>
                <w:lang w:val="en-US" w:eastAsia="zh-CN"/>
              </w:rPr>
              <w:t>1</w:t>
            </w:r>
            <w:r>
              <w:rPr>
                <w:rFonts w:hint="eastAsia" w:ascii="宋体" w:hAnsi="宋体" w:eastAsia="宋体" w:cs="Times New Roman"/>
                <w:b w:val="0"/>
                <w:bCs w:val="0"/>
                <w:sz w:val="21"/>
                <w:szCs w:val="21"/>
              </w:rPr>
              <w:t>0分。</w:t>
            </w:r>
          </w:p>
          <w:p w14:paraId="549043E1">
            <w:pPr>
              <w:pStyle w:val="24"/>
              <w:spacing w:line="288" w:lineRule="auto"/>
              <w:ind w:firstLine="0" w:firstLineChars="0"/>
              <w:jc w:val="left"/>
              <w:rPr>
                <w:rFonts w:ascii="宋体" w:hAnsi="宋体"/>
                <w:szCs w:val="21"/>
              </w:rPr>
            </w:pPr>
            <w:r>
              <w:rPr>
                <w:rFonts w:hint="eastAsia" w:ascii="宋体" w:hAnsi="宋体" w:eastAsia="宋体" w:cs="Times New Roman"/>
                <w:b w:val="0"/>
                <w:bCs w:val="0"/>
                <w:sz w:val="21"/>
                <w:szCs w:val="21"/>
              </w:rPr>
              <w:t>2.其他项不符合的每项扣</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分。</w:t>
            </w:r>
          </w:p>
        </w:tc>
        <w:tc>
          <w:tcPr>
            <w:tcW w:w="1701" w:type="dxa"/>
            <w:vMerge w:val="continue"/>
            <w:tcBorders>
              <w:left w:val="single" w:color="auto" w:sz="4" w:space="0"/>
              <w:right w:val="single" w:color="auto" w:sz="4" w:space="0"/>
            </w:tcBorders>
            <w:noWrap w:val="0"/>
            <w:vAlign w:val="center"/>
          </w:tcPr>
          <w:p w14:paraId="6AB15BF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1F4DFE5C">
            <w:pPr>
              <w:snapToGrid w:val="0"/>
              <w:spacing w:line="288" w:lineRule="auto"/>
              <w:jc w:val="center"/>
              <w:rPr>
                <w:rFonts w:ascii="宋体" w:hAnsi="宋体"/>
                <w:szCs w:val="21"/>
              </w:rPr>
            </w:pPr>
          </w:p>
        </w:tc>
        <w:tc>
          <w:tcPr>
            <w:tcW w:w="2268" w:type="dxa"/>
            <w:vMerge w:val="restart"/>
            <w:tcBorders>
              <w:top w:val="single" w:color="auto" w:sz="4" w:space="0"/>
              <w:left w:val="single" w:color="auto" w:sz="4" w:space="0"/>
              <w:right w:val="single" w:color="auto" w:sz="4" w:space="0"/>
            </w:tcBorders>
            <w:noWrap w:val="0"/>
            <w:vAlign w:val="center"/>
          </w:tcPr>
          <w:p w14:paraId="60442786">
            <w:pPr>
              <w:snapToGrid w:val="0"/>
              <w:spacing w:line="276" w:lineRule="auto"/>
              <w:rPr>
                <w:rFonts w:ascii="宋体" w:hAnsi="宋体"/>
                <w:szCs w:val="21"/>
              </w:rPr>
            </w:pPr>
            <w:r>
              <w:rPr>
                <w:rFonts w:hint="eastAsia" w:ascii="宋体" w:hAnsi="宋体"/>
                <w:szCs w:val="21"/>
              </w:rPr>
              <w:t>结合工程实体查资料</w:t>
            </w:r>
          </w:p>
        </w:tc>
      </w:tr>
      <w:tr w14:paraId="69C7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67" w:type="dxa"/>
            <w:vMerge w:val="continue"/>
            <w:tcBorders>
              <w:left w:val="single" w:color="auto" w:sz="4" w:space="0"/>
              <w:right w:val="single" w:color="auto" w:sz="4" w:space="0"/>
            </w:tcBorders>
            <w:noWrap w:val="0"/>
            <w:vAlign w:val="center"/>
          </w:tcPr>
          <w:p w14:paraId="786A534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2AB6796D">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65D04E2">
            <w:pPr>
              <w:snapToGrid w:val="0"/>
              <w:spacing w:line="360" w:lineRule="auto"/>
              <w:rPr>
                <w:rFonts w:ascii="黑体" w:hAnsi="黑体" w:eastAsia="黑体"/>
                <w:bCs/>
                <w:szCs w:val="21"/>
              </w:rPr>
            </w:pPr>
            <w:r>
              <w:rPr>
                <w:rFonts w:hint="eastAsia" w:ascii="黑体" w:hAnsi="黑体" w:eastAsia="黑体"/>
                <w:bCs/>
                <w:szCs w:val="21"/>
              </w:rPr>
              <w:t>隐检记录</w:t>
            </w:r>
          </w:p>
          <w:p w14:paraId="23FF7B4E">
            <w:pPr>
              <w:pStyle w:val="2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构筑物结构、墙面基层、园路基层、苗木种植等隐检不全；</w:t>
            </w:r>
          </w:p>
          <w:p w14:paraId="333AE48E">
            <w:pPr>
              <w:pStyle w:val="2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雨水、污水、给水、电气安装等隐检不全；</w:t>
            </w:r>
          </w:p>
          <w:p w14:paraId="4C2E4F1A">
            <w:pPr>
              <w:snapToGrid w:val="0"/>
              <w:spacing w:line="276" w:lineRule="auto"/>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隐蔽资料含工程施工过程照片，尤其是涉及安全方面的要有影像资料。</w:t>
            </w:r>
          </w:p>
        </w:tc>
        <w:tc>
          <w:tcPr>
            <w:tcW w:w="2409" w:type="dxa"/>
            <w:vMerge w:val="restart"/>
            <w:tcBorders>
              <w:left w:val="single" w:color="auto" w:sz="4" w:space="0"/>
              <w:right w:val="single" w:color="auto" w:sz="4" w:space="0"/>
            </w:tcBorders>
            <w:noWrap w:val="0"/>
            <w:vAlign w:val="center"/>
          </w:tcPr>
          <w:p w14:paraId="03A30CA8">
            <w:pPr>
              <w:pStyle w:val="2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装饰装修分值按公共建筑装饰类（公共建筑装饰工程）执行；</w:t>
            </w:r>
          </w:p>
          <w:p w14:paraId="683586D2">
            <w:pPr>
              <w:pStyle w:val="2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其它不符合每项扣0.5-1分。</w:t>
            </w:r>
          </w:p>
        </w:tc>
        <w:tc>
          <w:tcPr>
            <w:tcW w:w="1701" w:type="dxa"/>
            <w:vMerge w:val="continue"/>
            <w:tcBorders>
              <w:left w:val="single" w:color="auto" w:sz="4" w:space="0"/>
              <w:right w:val="single" w:color="auto" w:sz="4" w:space="0"/>
            </w:tcBorders>
            <w:noWrap w:val="0"/>
            <w:vAlign w:val="center"/>
          </w:tcPr>
          <w:p w14:paraId="68B3A7F4">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443168F1">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681A75C">
            <w:pPr>
              <w:snapToGrid w:val="0"/>
              <w:spacing w:line="276" w:lineRule="auto"/>
              <w:rPr>
                <w:rFonts w:ascii="宋体" w:hAnsi="宋体"/>
                <w:szCs w:val="21"/>
              </w:rPr>
            </w:pPr>
          </w:p>
        </w:tc>
      </w:tr>
      <w:tr w14:paraId="0CA7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67" w:type="dxa"/>
            <w:vMerge w:val="continue"/>
            <w:tcBorders>
              <w:left w:val="single" w:color="auto" w:sz="4" w:space="0"/>
              <w:right w:val="single" w:color="auto" w:sz="4" w:space="0"/>
            </w:tcBorders>
            <w:noWrap w:val="0"/>
            <w:vAlign w:val="center"/>
          </w:tcPr>
          <w:p w14:paraId="502B766B">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62EBEEFB">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4CD39EB">
            <w:pPr>
              <w:snapToGrid w:val="0"/>
              <w:spacing w:line="276" w:lineRule="auto"/>
              <w:rPr>
                <w:rFonts w:ascii="黑体" w:hAnsi="黑体" w:eastAsia="黑体"/>
                <w:bCs/>
                <w:szCs w:val="21"/>
              </w:rPr>
            </w:pPr>
            <w:r>
              <w:rPr>
                <w:rFonts w:hint="eastAsia" w:ascii="黑体" w:hAnsi="黑体" w:eastAsia="黑体"/>
                <w:bCs/>
                <w:szCs w:val="21"/>
              </w:rPr>
              <w:t>其它资料</w:t>
            </w:r>
          </w:p>
          <w:p w14:paraId="2E3AAD32">
            <w:pPr>
              <w:pStyle w:val="2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材质证明：主要装饰材料的合格证、检测报告（加盖存档单位公章、存档人）及复试报告（原件）；</w:t>
            </w:r>
          </w:p>
          <w:p w14:paraId="19FEF903">
            <w:pPr>
              <w:pStyle w:val="2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图纸会审记录、施工组织设计、特殊专项方案、技术交底审批手续不完整，签字不齐全；施工日志日期不连续，内容不全面，签字不齐全；</w:t>
            </w:r>
          </w:p>
          <w:p w14:paraId="1F431E31">
            <w:pPr>
              <w:pStyle w:val="2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检验批、分项、分部（子分部）质量验收记录不齐全（原件）；</w:t>
            </w:r>
          </w:p>
          <w:p w14:paraId="107A7900">
            <w:pPr>
              <w:pStyle w:val="24"/>
              <w:snapToGrid w:val="0"/>
              <w:spacing w:line="276" w:lineRule="auto"/>
              <w:ind w:firstLine="0" w:firstLineChars="0"/>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竣工图（重点部位、重要节点图纸）与隐蔽验收不一致、节能设计等未按公共建筑装饰类执行。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45473AFF">
            <w:pPr>
              <w:snapToGrid w:val="0"/>
              <w:spacing w:line="276"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0ADB1569">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196BE77D">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434603C8">
            <w:pPr>
              <w:snapToGrid w:val="0"/>
              <w:spacing w:line="276" w:lineRule="auto"/>
              <w:rPr>
                <w:rFonts w:ascii="宋体" w:hAnsi="宋体"/>
                <w:szCs w:val="21"/>
              </w:rPr>
            </w:pPr>
          </w:p>
        </w:tc>
      </w:tr>
      <w:tr w14:paraId="0290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567" w:type="dxa"/>
            <w:vMerge w:val="restart"/>
            <w:tcBorders>
              <w:left w:val="single" w:color="auto" w:sz="4" w:space="0"/>
              <w:right w:val="single" w:color="auto" w:sz="4" w:space="0"/>
            </w:tcBorders>
            <w:noWrap w:val="0"/>
            <w:vAlign w:val="center"/>
          </w:tcPr>
          <w:p w14:paraId="1F5182B4">
            <w:pPr>
              <w:snapToGrid w:val="0"/>
              <w:spacing w:line="288" w:lineRule="auto"/>
              <w:jc w:val="center"/>
              <w:rPr>
                <w:rFonts w:ascii="宋体" w:hAnsi="宋体"/>
                <w:szCs w:val="21"/>
              </w:rPr>
            </w:pPr>
            <w:r>
              <w:rPr>
                <w:rFonts w:hint="eastAsia" w:ascii="宋体" w:hAnsi="宋体"/>
                <w:szCs w:val="21"/>
              </w:rPr>
              <w:t>2</w:t>
            </w:r>
          </w:p>
        </w:tc>
        <w:tc>
          <w:tcPr>
            <w:tcW w:w="1277" w:type="dxa"/>
            <w:vMerge w:val="restart"/>
            <w:tcBorders>
              <w:left w:val="single" w:color="auto" w:sz="4" w:space="0"/>
              <w:right w:val="single" w:color="auto" w:sz="4" w:space="0"/>
            </w:tcBorders>
            <w:noWrap w:val="0"/>
            <w:vAlign w:val="center"/>
          </w:tcPr>
          <w:p w14:paraId="14D6A0B5">
            <w:pPr>
              <w:snapToGrid w:val="0"/>
              <w:spacing w:line="240" w:lineRule="exact"/>
              <w:jc w:val="center"/>
              <w:rPr>
                <w:rFonts w:hint="eastAsia" w:ascii="宋体" w:hAnsi="宋体"/>
                <w:bCs/>
                <w:szCs w:val="21"/>
              </w:rPr>
            </w:pPr>
            <w:r>
              <w:rPr>
                <w:rFonts w:hint="eastAsia" w:ascii="宋体" w:hAnsi="宋体"/>
                <w:bCs/>
                <w:szCs w:val="21"/>
              </w:rPr>
              <w:t>硬质工程</w:t>
            </w:r>
          </w:p>
          <w:p w14:paraId="4EBE9E02">
            <w:pPr>
              <w:snapToGrid w:val="0"/>
              <w:spacing w:line="240" w:lineRule="exact"/>
              <w:jc w:val="center"/>
              <w:rPr>
                <w:rFonts w:ascii="宋体" w:hAnsi="宋体"/>
                <w:szCs w:val="21"/>
              </w:rPr>
            </w:pPr>
            <w:r>
              <w:rPr>
                <w:rFonts w:hint="eastAsia" w:ascii="宋体" w:hAnsi="宋体"/>
                <w:bCs/>
                <w:szCs w:val="21"/>
              </w:rPr>
              <w:t>（包括土建及铺装工程）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08948CE">
            <w:pPr>
              <w:snapToGrid w:val="0"/>
              <w:spacing w:line="288" w:lineRule="auto"/>
              <w:rPr>
                <w:rFonts w:ascii="黑体" w:hAnsi="黑体" w:eastAsia="黑体"/>
                <w:szCs w:val="21"/>
              </w:rPr>
            </w:pPr>
            <w:r>
              <w:rPr>
                <w:rFonts w:ascii="黑体" w:hAnsi="黑体" w:eastAsia="黑体"/>
                <w:szCs w:val="21"/>
              </w:rPr>
              <w:t>一般观感</w:t>
            </w:r>
          </w:p>
          <w:p w14:paraId="66B670F9">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石材缺棱掉角、裂缝、脱色、色筋、污痕和显著的光泽受损；洁净、色泽欠协调；</w:t>
            </w:r>
          </w:p>
          <w:p w14:paraId="066770AA">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彩色沥青明显缺失、皲裂、褶皱、裂缝、气泡、脱壳现象；坑洼鼓包、离层、骨料脱落；表面欠平整、坡面欠平顺流畅，有积水；有二次挖补痕迹；</w:t>
            </w:r>
          </w:p>
          <w:p w14:paraId="3CE4AEE0">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铺装不平整、坡度不顺，存在积水或大面积水渍。</w:t>
            </w:r>
          </w:p>
        </w:tc>
        <w:tc>
          <w:tcPr>
            <w:tcW w:w="2409" w:type="dxa"/>
            <w:vMerge w:val="restart"/>
            <w:tcBorders>
              <w:top w:val="single" w:color="auto" w:sz="4" w:space="0"/>
              <w:left w:val="single" w:color="auto" w:sz="4" w:space="0"/>
              <w:right w:val="single" w:color="auto" w:sz="4" w:space="0"/>
            </w:tcBorders>
            <w:noWrap w:val="0"/>
            <w:vAlign w:val="center"/>
          </w:tcPr>
          <w:p w14:paraId="019B260F">
            <w:pPr>
              <w:pStyle w:val="24"/>
              <w:snapToGrid w:val="0"/>
              <w:spacing w:line="288" w:lineRule="auto"/>
              <w:ind w:firstLine="0" w:firstLineChars="0"/>
              <w:rPr>
                <w:rFonts w:ascii="宋体" w:hAnsi="宋体"/>
                <w:szCs w:val="21"/>
              </w:rPr>
            </w:pPr>
            <w:r>
              <w:rPr>
                <w:rFonts w:ascii="宋体" w:hAnsi="宋体"/>
                <w:szCs w:val="21"/>
              </w:rPr>
              <w:t>1.</w:t>
            </w:r>
            <w:r>
              <w:rPr>
                <w:rFonts w:hint="eastAsia" w:ascii="宋体" w:hAnsi="宋体"/>
                <w:szCs w:val="21"/>
              </w:rPr>
              <w:t>装饰装修分值按公共建筑装饰类</w:t>
            </w:r>
            <w:r>
              <w:rPr>
                <w:rFonts w:hint="eastAsia"/>
                <w:szCs w:val="21"/>
              </w:rPr>
              <w:t>（公共建筑装饰工程）</w:t>
            </w:r>
            <w:r>
              <w:rPr>
                <w:rFonts w:hint="eastAsia" w:ascii="宋体" w:hAnsi="宋体"/>
                <w:szCs w:val="21"/>
              </w:rPr>
              <w:t>执行。</w:t>
            </w:r>
          </w:p>
          <w:p w14:paraId="67132B4D">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2</w:t>
            </w:r>
            <w:r>
              <w:rPr>
                <w:rFonts w:hint="eastAsia" w:ascii="宋体" w:hAnsi="宋体" w:eastAsia="宋体" w:cs="Times New Roman"/>
                <w:b w:val="0"/>
                <w:bCs w:val="0"/>
                <w:sz w:val="21"/>
                <w:szCs w:val="21"/>
                <w:lang w:val="en-US" w:eastAsia="zh-CN"/>
              </w:rPr>
              <w:t>.</w:t>
            </w:r>
            <w:r>
              <w:rPr>
                <w:rFonts w:hint="eastAsia" w:ascii="宋体" w:hAnsi="宋体" w:eastAsia="宋体" w:cs="Times New Roman"/>
                <w:b w:val="0"/>
                <w:bCs w:val="0"/>
                <w:sz w:val="21"/>
                <w:szCs w:val="21"/>
              </w:rPr>
              <w:t>违反强条的</w:t>
            </w:r>
            <w:r>
              <w:rPr>
                <w:rFonts w:hint="eastAsia" w:ascii="宋体" w:hAnsi="宋体" w:eastAsia="宋体" w:cs="Times New Roman"/>
                <w:b w:val="0"/>
                <w:bCs w:val="0"/>
                <w:sz w:val="21"/>
                <w:szCs w:val="21"/>
                <w:lang w:val="en-US" w:eastAsia="zh-CN"/>
              </w:rPr>
              <w:t>每项扣10</w:t>
            </w:r>
            <w:r>
              <w:rPr>
                <w:rFonts w:hint="eastAsia" w:ascii="宋体" w:hAnsi="宋体" w:eastAsia="宋体" w:cs="Times New Roman"/>
                <w:b w:val="0"/>
                <w:bCs w:val="0"/>
                <w:sz w:val="21"/>
                <w:szCs w:val="21"/>
              </w:rPr>
              <w:t>分；</w:t>
            </w:r>
          </w:p>
          <w:p w14:paraId="49662057">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3</w:t>
            </w:r>
            <w:r>
              <w:rPr>
                <w:rFonts w:hint="eastAsia" w:ascii="宋体" w:hAnsi="宋体" w:eastAsia="宋体" w:cs="Times New Roman"/>
                <w:b w:val="0"/>
                <w:bCs w:val="0"/>
                <w:sz w:val="21"/>
                <w:szCs w:val="21"/>
              </w:rPr>
              <w:t>.存在质量缺陷的每项扣0.5分；</w:t>
            </w:r>
          </w:p>
          <w:p w14:paraId="3E1D4EF4">
            <w:pPr>
              <w:pStyle w:val="24"/>
              <w:snapToGrid w:val="0"/>
              <w:spacing w:line="288" w:lineRule="auto"/>
              <w:ind w:firstLine="0" w:firstLineChars="0"/>
              <w:jc w:val="left"/>
              <w:rPr>
                <w:rFonts w:hint="eastAsia" w:ascii="宋体" w:hAnsi="宋体" w:eastAsia="宋体" w:cs="Times New Roman"/>
                <w:b w:val="0"/>
                <w:bCs w:val="0"/>
                <w:sz w:val="21"/>
                <w:szCs w:val="21"/>
                <w:lang w:val="en-US" w:eastAsia="zh-CN"/>
              </w:rPr>
            </w:pPr>
            <w:r>
              <w:rPr>
                <w:rFonts w:hint="eastAsia" w:ascii="宋体" w:hAnsi="宋体" w:cs="Times New Roman"/>
                <w:b w:val="0"/>
                <w:bCs w:val="0"/>
                <w:sz w:val="21"/>
                <w:szCs w:val="21"/>
                <w:lang w:val="en-US" w:eastAsia="zh-CN"/>
              </w:rPr>
              <w:t>4</w:t>
            </w:r>
            <w:r>
              <w:rPr>
                <w:rFonts w:hint="eastAsia" w:ascii="宋体" w:hAnsi="宋体" w:eastAsia="宋体" w:cs="Times New Roman"/>
                <w:b w:val="0"/>
                <w:bCs w:val="0"/>
                <w:sz w:val="21"/>
                <w:szCs w:val="21"/>
                <w:lang w:val="en-US" w:eastAsia="zh-CN"/>
              </w:rPr>
              <w:t>.存在安全隐患的每项扣1分。</w:t>
            </w:r>
          </w:p>
          <w:p w14:paraId="0070C926">
            <w:pPr>
              <w:pStyle w:val="24"/>
              <w:snapToGrid w:val="0"/>
              <w:spacing w:line="288" w:lineRule="auto"/>
              <w:ind w:firstLine="0" w:firstLineChars="0"/>
              <w:rPr>
                <w:rFonts w:ascii="宋体" w:hAnsi="宋体"/>
                <w:szCs w:val="21"/>
              </w:rPr>
            </w:pPr>
          </w:p>
        </w:tc>
        <w:tc>
          <w:tcPr>
            <w:tcW w:w="1701" w:type="dxa"/>
            <w:vMerge w:val="restart"/>
            <w:tcBorders>
              <w:left w:val="single" w:color="auto" w:sz="4" w:space="0"/>
              <w:right w:val="single" w:color="auto" w:sz="4" w:space="0"/>
            </w:tcBorders>
            <w:noWrap w:val="0"/>
            <w:vAlign w:val="center"/>
          </w:tcPr>
          <w:p w14:paraId="7F4E661D">
            <w:pPr>
              <w:pStyle w:val="2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涉及工程质量安全、强条项的内容为必查项。</w:t>
            </w:r>
          </w:p>
          <w:p w14:paraId="10308E2F">
            <w:pPr>
              <w:pStyle w:val="2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0701A108">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14:paraId="1B9286DF">
            <w:pPr>
              <w:snapToGrid w:val="0"/>
              <w:spacing w:line="288" w:lineRule="auto"/>
              <w:rPr>
                <w:rFonts w:ascii="宋体" w:hAnsi="宋体"/>
                <w:szCs w:val="21"/>
              </w:rPr>
            </w:pPr>
            <w:r>
              <w:rPr>
                <w:rFonts w:ascii="宋体" w:hAnsi="宋体"/>
                <w:szCs w:val="21"/>
              </w:rPr>
              <w:t>结合图纸、资料查工程实体</w:t>
            </w:r>
          </w:p>
        </w:tc>
      </w:tr>
      <w:tr w14:paraId="6074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567" w:type="dxa"/>
            <w:vMerge w:val="continue"/>
            <w:tcBorders>
              <w:left w:val="single" w:color="auto" w:sz="4" w:space="0"/>
              <w:right w:val="single" w:color="auto" w:sz="4" w:space="0"/>
            </w:tcBorders>
            <w:noWrap w:val="0"/>
            <w:vAlign w:val="center"/>
          </w:tcPr>
          <w:p w14:paraId="085DB1AF">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434697A">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FE17443">
            <w:pPr>
              <w:snapToGrid w:val="0"/>
              <w:spacing w:line="288" w:lineRule="auto"/>
              <w:rPr>
                <w:rFonts w:ascii="黑体" w:hAnsi="黑体" w:eastAsia="黑体"/>
                <w:szCs w:val="21"/>
              </w:rPr>
            </w:pPr>
            <w:r>
              <w:rPr>
                <w:rFonts w:hint="eastAsia" w:ascii="黑体" w:hAnsi="黑体" w:eastAsia="黑体"/>
                <w:szCs w:val="21"/>
              </w:rPr>
              <w:t>花岗石/大理石/仿石/瓷砖/砖/瓦/马赛克等</w:t>
            </w:r>
          </w:p>
          <w:p w14:paraId="7D776ACD">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形状欠平整方正，异型加工尺寸不到位，磨边、磨角、拉槽、清口整体不通顺、有偏差；</w:t>
            </w:r>
          </w:p>
          <w:p w14:paraId="6687E334">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线型不顺直、弧线欠顺畅，隔边图案分界不清晰；存在材质、规格使用错误，存在遗漏施工、大面积色差、明显泛碱等现象。</w:t>
            </w:r>
          </w:p>
        </w:tc>
        <w:tc>
          <w:tcPr>
            <w:tcW w:w="2409" w:type="dxa"/>
            <w:vMerge w:val="continue"/>
            <w:tcBorders>
              <w:left w:val="single" w:color="auto" w:sz="4" w:space="0"/>
              <w:right w:val="single" w:color="auto" w:sz="4" w:space="0"/>
            </w:tcBorders>
            <w:noWrap w:val="0"/>
            <w:vAlign w:val="center"/>
          </w:tcPr>
          <w:p w14:paraId="1142777B">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2E0D8417">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743FEC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43E4EC26">
            <w:pPr>
              <w:snapToGrid w:val="0"/>
              <w:spacing w:line="288" w:lineRule="auto"/>
              <w:rPr>
                <w:rFonts w:ascii="宋体" w:hAnsi="宋体"/>
                <w:szCs w:val="21"/>
              </w:rPr>
            </w:pPr>
          </w:p>
        </w:tc>
      </w:tr>
      <w:tr w14:paraId="25B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567" w:type="dxa"/>
            <w:vMerge w:val="continue"/>
            <w:tcBorders>
              <w:left w:val="single" w:color="auto" w:sz="4" w:space="0"/>
              <w:right w:val="single" w:color="auto" w:sz="4" w:space="0"/>
            </w:tcBorders>
            <w:noWrap w:val="0"/>
            <w:vAlign w:val="center"/>
          </w:tcPr>
          <w:p w14:paraId="3C618BE1">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8306DFE">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580464E">
            <w:pPr>
              <w:snapToGrid w:val="0"/>
              <w:spacing w:line="288" w:lineRule="auto"/>
              <w:rPr>
                <w:rFonts w:ascii="黑体" w:hAnsi="黑体" w:eastAsia="黑体"/>
                <w:szCs w:val="21"/>
              </w:rPr>
            </w:pPr>
            <w:r>
              <w:rPr>
                <w:rFonts w:hint="eastAsia" w:ascii="黑体" w:hAnsi="黑体" w:eastAsia="黑体"/>
                <w:szCs w:val="21"/>
              </w:rPr>
              <w:t>碎拼/冰裂纹/鹅卵石/河滩石/砾石/石笼墙/码砌墙等</w:t>
            </w:r>
          </w:p>
          <w:p w14:paraId="10A0867C">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材料颜色欠协调、表面存在明显斑块、风化缺陷、松动脱落泛碱现象；卵石铺设不均匀；</w:t>
            </w:r>
          </w:p>
          <w:p w14:paraId="6299892A">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码砌勾缝、填缝欠圆润美观；有水泥、油渍、油漆、胶体等污染；有碾压、磕碰、撞击等损坏。</w:t>
            </w:r>
          </w:p>
        </w:tc>
        <w:tc>
          <w:tcPr>
            <w:tcW w:w="2409" w:type="dxa"/>
            <w:vMerge w:val="continue"/>
            <w:tcBorders>
              <w:left w:val="single" w:color="auto" w:sz="4" w:space="0"/>
              <w:right w:val="single" w:color="auto" w:sz="4" w:space="0"/>
            </w:tcBorders>
            <w:noWrap w:val="0"/>
            <w:vAlign w:val="center"/>
          </w:tcPr>
          <w:p w14:paraId="1792B581">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503902B1">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3B386CE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28FECD1B">
            <w:pPr>
              <w:snapToGrid w:val="0"/>
              <w:spacing w:line="288" w:lineRule="auto"/>
              <w:rPr>
                <w:rFonts w:ascii="宋体" w:hAnsi="宋体"/>
                <w:szCs w:val="21"/>
              </w:rPr>
            </w:pPr>
          </w:p>
        </w:tc>
      </w:tr>
      <w:tr w14:paraId="0DB3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567" w:type="dxa"/>
            <w:vMerge w:val="continue"/>
            <w:tcBorders>
              <w:left w:val="single" w:color="auto" w:sz="4" w:space="0"/>
              <w:right w:val="single" w:color="auto" w:sz="4" w:space="0"/>
            </w:tcBorders>
            <w:noWrap w:val="0"/>
            <w:vAlign w:val="center"/>
          </w:tcPr>
          <w:p w14:paraId="4AC0E392">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B309FB7">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109E6C9">
            <w:pPr>
              <w:snapToGrid w:val="0"/>
              <w:spacing w:line="288" w:lineRule="auto"/>
              <w:rPr>
                <w:rFonts w:ascii="黑体" w:hAnsi="黑体" w:eastAsia="黑体"/>
                <w:szCs w:val="21"/>
              </w:rPr>
            </w:pPr>
            <w:r>
              <w:rPr>
                <w:rFonts w:hint="eastAsia" w:ascii="黑体" w:hAnsi="黑体" w:eastAsia="黑体"/>
                <w:szCs w:val="21"/>
              </w:rPr>
              <w:t>彩色沥青/混凝土/橡胶地垫/胶黏石/水洗石/水磨石/仿石漆/涂料</w:t>
            </w:r>
          </w:p>
          <w:p w14:paraId="0DDCCE51">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骨料级配不均匀、有离析、颜色欠均匀；</w:t>
            </w:r>
          </w:p>
          <w:p w14:paraId="0EE17906">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拼缝处的图案、花纹欠吻合，有胶痕，平立面交接欠严密，阴阳角收边不方正；与收水口、井盖等结合处欠平整严密、不牢固；收水口有积水现象；</w:t>
            </w:r>
          </w:p>
          <w:p w14:paraId="1045EEE6">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水泥、油渍、油漆、胶体等存在污染；有碾压轮迹、脚印、手印等痕迹。</w:t>
            </w:r>
          </w:p>
        </w:tc>
        <w:tc>
          <w:tcPr>
            <w:tcW w:w="2409" w:type="dxa"/>
            <w:vMerge w:val="continue"/>
            <w:tcBorders>
              <w:left w:val="single" w:color="auto" w:sz="4" w:space="0"/>
              <w:right w:val="single" w:color="auto" w:sz="4" w:space="0"/>
            </w:tcBorders>
            <w:noWrap w:val="0"/>
            <w:vAlign w:val="center"/>
          </w:tcPr>
          <w:p w14:paraId="2F2CC1F2">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3A42D011">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151038C9">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18CB172F">
            <w:pPr>
              <w:snapToGrid w:val="0"/>
              <w:spacing w:line="288" w:lineRule="auto"/>
              <w:rPr>
                <w:rFonts w:ascii="宋体" w:hAnsi="宋体"/>
                <w:szCs w:val="21"/>
              </w:rPr>
            </w:pPr>
          </w:p>
        </w:tc>
      </w:tr>
      <w:tr w14:paraId="1F9F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67" w:type="dxa"/>
            <w:vMerge w:val="continue"/>
            <w:tcBorders>
              <w:left w:val="single" w:color="auto" w:sz="4" w:space="0"/>
              <w:right w:val="single" w:color="auto" w:sz="4" w:space="0"/>
            </w:tcBorders>
            <w:noWrap w:val="0"/>
            <w:vAlign w:val="center"/>
          </w:tcPr>
          <w:p w14:paraId="3EEDF72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FEBC77B">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A95C1B5">
            <w:pPr>
              <w:snapToGrid w:val="0"/>
              <w:spacing w:line="288" w:lineRule="auto"/>
              <w:rPr>
                <w:rFonts w:ascii="黑体" w:hAnsi="黑体" w:eastAsia="黑体"/>
                <w:szCs w:val="21"/>
              </w:rPr>
            </w:pPr>
            <w:r>
              <w:rPr>
                <w:rFonts w:hint="eastAsia" w:ascii="黑体" w:hAnsi="黑体" w:eastAsia="黑体"/>
                <w:szCs w:val="21"/>
              </w:rPr>
              <w:t>石材压顶、台阶、汀步、植草格</w:t>
            </w:r>
          </w:p>
          <w:p w14:paraId="5025B425">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踏步不平整存在积水，防滑槽处理不牢靠；有明显泛碱、空鼓；步距、高度不一致，边线欠直顺；转角拼缝欠一致；路面、绿地接口欠平整；</w:t>
            </w:r>
          </w:p>
          <w:p w14:paraId="75BCACCC">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石材厚度不一致，有明显爆边、掉角、裂缝、色筋、色差；形状欠平整方正，异型加工尺寸欠佳；侧面处理有遗漏；磨边、磨角、拉槽、清口整体不顺直、有偏差。</w:t>
            </w:r>
          </w:p>
        </w:tc>
        <w:tc>
          <w:tcPr>
            <w:tcW w:w="2409" w:type="dxa"/>
            <w:vMerge w:val="continue"/>
            <w:tcBorders>
              <w:left w:val="single" w:color="auto" w:sz="4" w:space="0"/>
              <w:right w:val="single" w:color="auto" w:sz="4" w:space="0"/>
            </w:tcBorders>
            <w:noWrap w:val="0"/>
            <w:vAlign w:val="center"/>
          </w:tcPr>
          <w:p w14:paraId="28842629">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079CDD10">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5B535FF">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454CD34">
            <w:pPr>
              <w:snapToGrid w:val="0"/>
              <w:spacing w:line="288" w:lineRule="auto"/>
              <w:rPr>
                <w:rFonts w:ascii="宋体" w:hAnsi="宋体"/>
                <w:szCs w:val="21"/>
              </w:rPr>
            </w:pPr>
          </w:p>
        </w:tc>
      </w:tr>
      <w:tr w14:paraId="1F24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vMerge w:val="restart"/>
            <w:tcBorders>
              <w:left w:val="single" w:color="auto" w:sz="4" w:space="0"/>
              <w:right w:val="single" w:color="auto" w:sz="4" w:space="0"/>
            </w:tcBorders>
            <w:noWrap w:val="0"/>
            <w:vAlign w:val="center"/>
          </w:tcPr>
          <w:p w14:paraId="6639E135">
            <w:pPr>
              <w:snapToGrid w:val="0"/>
              <w:spacing w:line="288" w:lineRule="auto"/>
              <w:jc w:val="center"/>
              <w:rPr>
                <w:rFonts w:ascii="宋体" w:hAnsi="宋体"/>
                <w:szCs w:val="21"/>
              </w:rPr>
            </w:pPr>
            <w:r>
              <w:rPr>
                <w:rFonts w:hint="eastAsia" w:ascii="宋体" w:hAnsi="宋体"/>
                <w:szCs w:val="21"/>
              </w:rPr>
              <w:t>3</w:t>
            </w:r>
          </w:p>
        </w:tc>
        <w:tc>
          <w:tcPr>
            <w:tcW w:w="1277" w:type="dxa"/>
            <w:vMerge w:val="restart"/>
            <w:tcBorders>
              <w:left w:val="single" w:color="auto" w:sz="4" w:space="0"/>
              <w:right w:val="single" w:color="auto" w:sz="4" w:space="0"/>
            </w:tcBorders>
            <w:noWrap w:val="0"/>
            <w:vAlign w:val="center"/>
          </w:tcPr>
          <w:p w14:paraId="6A1E2D30">
            <w:pPr>
              <w:snapToGrid w:val="0"/>
              <w:spacing w:line="240" w:lineRule="exact"/>
              <w:jc w:val="center"/>
              <w:rPr>
                <w:rFonts w:ascii="宋体" w:hAnsi="宋体"/>
                <w:bCs/>
                <w:szCs w:val="21"/>
              </w:rPr>
            </w:pPr>
            <w:r>
              <w:rPr>
                <w:rFonts w:hint="eastAsia" w:ascii="宋体" w:hAnsi="宋体"/>
                <w:bCs/>
                <w:szCs w:val="21"/>
              </w:rPr>
              <w:t>绿化工程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27EA254">
            <w:pPr>
              <w:snapToGrid w:val="0"/>
              <w:spacing w:line="288" w:lineRule="auto"/>
              <w:rPr>
                <w:rFonts w:ascii="黑体" w:hAnsi="黑体" w:eastAsia="黑体"/>
                <w:szCs w:val="21"/>
              </w:rPr>
            </w:pPr>
            <w:r>
              <w:rPr>
                <w:rFonts w:ascii="黑体" w:hAnsi="黑体" w:eastAsia="黑体"/>
                <w:szCs w:val="21"/>
              </w:rPr>
              <w:t>一般观感</w:t>
            </w:r>
          </w:p>
          <w:p w14:paraId="430D2230">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苗木树形欠优美，胸径、蓬径、高度、冠幅不符合设计要求；有较多死苗，大树未设排水透气管；</w:t>
            </w:r>
          </w:p>
          <w:p w14:paraId="31863AAE">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草坪坪床欠平整、不饱满有塌陷、有积水；有较多死亡、病虫害、斑脱、杂草；</w:t>
            </w:r>
          </w:p>
          <w:p w14:paraId="173E21FA">
            <w:pPr>
              <w:pStyle w:val="2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回土高度不足、地形不平整、坡度不顺畅、排水欠佳。</w:t>
            </w:r>
          </w:p>
        </w:tc>
        <w:tc>
          <w:tcPr>
            <w:tcW w:w="2409" w:type="dxa"/>
            <w:vMerge w:val="restart"/>
            <w:tcBorders>
              <w:top w:val="single" w:color="auto" w:sz="4" w:space="0"/>
              <w:left w:val="single" w:color="auto" w:sz="4" w:space="0"/>
              <w:right w:val="single" w:color="auto" w:sz="4" w:space="0"/>
            </w:tcBorders>
            <w:noWrap w:val="0"/>
            <w:vAlign w:val="center"/>
          </w:tcPr>
          <w:p w14:paraId="29AFDC46">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w:t>
            </w:r>
            <w:r>
              <w:rPr>
                <w:rFonts w:hint="eastAsia"/>
                <w:szCs w:val="21"/>
              </w:rPr>
              <w:t>（公共建筑装饰工程）</w:t>
            </w:r>
            <w:r>
              <w:rPr>
                <w:rFonts w:hint="eastAsia" w:ascii="宋体" w:hAnsi="宋体"/>
                <w:szCs w:val="21"/>
              </w:rPr>
              <w:t>执行；</w:t>
            </w:r>
          </w:p>
          <w:p w14:paraId="4C64BFF9">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2</w:t>
            </w:r>
            <w:r>
              <w:rPr>
                <w:rFonts w:hint="eastAsia" w:ascii="宋体" w:hAnsi="宋体" w:eastAsia="宋体" w:cs="Times New Roman"/>
                <w:b w:val="0"/>
                <w:bCs w:val="0"/>
                <w:sz w:val="21"/>
                <w:szCs w:val="21"/>
                <w:lang w:val="en-US" w:eastAsia="zh-CN"/>
              </w:rPr>
              <w:t>.</w:t>
            </w:r>
            <w:r>
              <w:rPr>
                <w:rFonts w:hint="eastAsia" w:ascii="宋体" w:hAnsi="宋体" w:eastAsia="宋体" w:cs="Times New Roman"/>
                <w:b w:val="0"/>
                <w:bCs w:val="0"/>
                <w:sz w:val="21"/>
                <w:szCs w:val="21"/>
              </w:rPr>
              <w:t>违反强条的</w:t>
            </w:r>
            <w:r>
              <w:rPr>
                <w:rFonts w:hint="eastAsia" w:ascii="宋体" w:hAnsi="宋体" w:eastAsia="宋体" w:cs="Times New Roman"/>
                <w:b w:val="0"/>
                <w:bCs w:val="0"/>
                <w:sz w:val="21"/>
                <w:szCs w:val="21"/>
                <w:lang w:val="en-US" w:eastAsia="zh-CN"/>
              </w:rPr>
              <w:t>每项扣10</w:t>
            </w:r>
            <w:r>
              <w:rPr>
                <w:rFonts w:hint="eastAsia" w:ascii="宋体" w:hAnsi="宋体" w:eastAsia="宋体" w:cs="Times New Roman"/>
                <w:b w:val="0"/>
                <w:bCs w:val="0"/>
                <w:sz w:val="21"/>
                <w:szCs w:val="21"/>
              </w:rPr>
              <w:t>分；</w:t>
            </w:r>
          </w:p>
          <w:p w14:paraId="66A20D7C">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3</w:t>
            </w:r>
            <w:r>
              <w:rPr>
                <w:rFonts w:hint="eastAsia" w:ascii="宋体" w:hAnsi="宋体" w:eastAsia="宋体" w:cs="Times New Roman"/>
                <w:b w:val="0"/>
                <w:bCs w:val="0"/>
                <w:sz w:val="21"/>
                <w:szCs w:val="21"/>
              </w:rPr>
              <w:t>.存在质量缺陷的每项扣0.5分；</w:t>
            </w:r>
          </w:p>
          <w:p w14:paraId="1AD5829B">
            <w:pPr>
              <w:pStyle w:val="24"/>
              <w:snapToGrid w:val="0"/>
              <w:spacing w:line="288" w:lineRule="auto"/>
              <w:ind w:firstLine="0" w:firstLineChars="0"/>
              <w:rPr>
                <w:rFonts w:ascii="宋体" w:hAnsi="宋体"/>
                <w:szCs w:val="21"/>
              </w:rPr>
            </w:pPr>
            <w:r>
              <w:rPr>
                <w:rFonts w:hint="eastAsia" w:ascii="宋体" w:hAnsi="宋体" w:cs="Times New Roman"/>
                <w:b w:val="0"/>
                <w:bCs w:val="0"/>
                <w:sz w:val="21"/>
                <w:szCs w:val="21"/>
                <w:lang w:val="en-US" w:eastAsia="zh-CN"/>
              </w:rPr>
              <w:t>4</w:t>
            </w:r>
            <w:r>
              <w:rPr>
                <w:rFonts w:hint="eastAsia" w:ascii="宋体" w:hAnsi="宋体" w:eastAsia="宋体" w:cs="Times New Roman"/>
                <w:b w:val="0"/>
                <w:bCs w:val="0"/>
                <w:sz w:val="21"/>
                <w:szCs w:val="21"/>
                <w:lang w:val="en-US" w:eastAsia="zh-CN"/>
              </w:rPr>
              <w:t>.存在安全隐患的每项扣1分。</w:t>
            </w:r>
          </w:p>
        </w:tc>
        <w:tc>
          <w:tcPr>
            <w:tcW w:w="1701" w:type="dxa"/>
            <w:vMerge w:val="restart"/>
            <w:tcBorders>
              <w:left w:val="single" w:color="auto" w:sz="4" w:space="0"/>
              <w:right w:val="single" w:color="auto" w:sz="4" w:space="0"/>
            </w:tcBorders>
            <w:noWrap w:val="0"/>
            <w:vAlign w:val="center"/>
          </w:tcPr>
          <w:p w14:paraId="618EFD6F">
            <w:pPr>
              <w:pStyle w:val="24"/>
              <w:snapToGrid w:val="0"/>
              <w:spacing w:line="288" w:lineRule="auto"/>
              <w:ind w:firstLine="0" w:firstLineChars="0"/>
              <w:jc w:val="left"/>
              <w:rPr>
                <w:rFonts w:ascii="宋体" w:hAnsi="宋体"/>
                <w:szCs w:val="21"/>
              </w:rPr>
            </w:pPr>
            <w:r>
              <w:rPr>
                <w:rFonts w:hint="eastAsia" w:ascii="宋体" w:hAnsi="宋体"/>
                <w:szCs w:val="21"/>
              </w:rPr>
              <w:t>1.涉及工程质量安全、强条项的内容为必查项；</w:t>
            </w:r>
          </w:p>
          <w:p w14:paraId="71BD5A98">
            <w:pPr>
              <w:pStyle w:val="2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0F5EBE58">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14:paraId="14C6BF78">
            <w:pPr>
              <w:snapToGrid w:val="0"/>
              <w:spacing w:line="288" w:lineRule="auto"/>
              <w:rPr>
                <w:rFonts w:ascii="宋体" w:hAnsi="宋体"/>
                <w:szCs w:val="21"/>
              </w:rPr>
            </w:pPr>
            <w:r>
              <w:rPr>
                <w:rFonts w:hint="eastAsia" w:ascii="宋体" w:hAnsi="宋体"/>
                <w:szCs w:val="21"/>
              </w:rPr>
              <w:t>结合图纸、资料查工程实体</w:t>
            </w:r>
          </w:p>
        </w:tc>
      </w:tr>
      <w:tr w14:paraId="00C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67" w:type="dxa"/>
            <w:vMerge w:val="continue"/>
            <w:tcBorders>
              <w:left w:val="single" w:color="auto" w:sz="4" w:space="0"/>
              <w:right w:val="single" w:color="auto" w:sz="4" w:space="0"/>
            </w:tcBorders>
            <w:noWrap w:val="0"/>
            <w:vAlign w:val="center"/>
          </w:tcPr>
          <w:p w14:paraId="2A1DBBDC">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EA00E29">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F7F5063">
            <w:pPr>
              <w:snapToGrid w:val="0"/>
              <w:spacing w:line="288" w:lineRule="auto"/>
              <w:rPr>
                <w:rFonts w:ascii="黑体" w:hAnsi="黑体" w:eastAsia="黑体"/>
                <w:szCs w:val="21"/>
              </w:rPr>
            </w:pPr>
            <w:r>
              <w:rPr>
                <w:rFonts w:hint="eastAsia" w:ascii="黑体" w:hAnsi="黑体" w:eastAsia="黑体"/>
                <w:szCs w:val="21"/>
              </w:rPr>
              <w:t>乔木、灌木、球类、小苗</w:t>
            </w:r>
          </w:p>
          <w:p w14:paraId="18206E7A">
            <w:pPr>
              <w:snapToGrid w:val="0"/>
              <w:spacing w:line="288"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修剪层次不分明，骨架不完整，过度修剪,观感欠佳；</w:t>
            </w:r>
          </w:p>
          <w:p w14:paraId="469FA095">
            <w:pPr>
              <w:snapToGrid w:val="0"/>
              <w:spacing w:line="288" w:lineRule="auto"/>
              <w:rPr>
                <w:rFonts w:ascii="宋体" w:hAnsi="宋体"/>
                <w:szCs w:val="21"/>
              </w:rPr>
            </w:pPr>
            <w:r>
              <w:rPr>
                <w:rFonts w:ascii="宋体" w:hAnsi="宋体"/>
                <w:szCs w:val="21"/>
              </w:rPr>
              <w:t>2.</w:t>
            </w:r>
            <w:r>
              <w:rPr>
                <w:rFonts w:hint="eastAsia" w:ascii="宋体" w:hAnsi="宋体"/>
                <w:szCs w:val="21"/>
              </w:rPr>
              <w:t>存在较多伤苗、枯稍、阴稍、病虫害及明显机械损伤。</w:t>
            </w:r>
          </w:p>
        </w:tc>
        <w:tc>
          <w:tcPr>
            <w:tcW w:w="2409" w:type="dxa"/>
            <w:vMerge w:val="continue"/>
            <w:tcBorders>
              <w:left w:val="single" w:color="auto" w:sz="4" w:space="0"/>
              <w:right w:val="single" w:color="auto" w:sz="4" w:space="0"/>
            </w:tcBorders>
            <w:noWrap w:val="0"/>
            <w:vAlign w:val="center"/>
          </w:tcPr>
          <w:p w14:paraId="2288CF0B">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2AA2143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C8FA2B5">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4C032335">
            <w:pPr>
              <w:snapToGrid w:val="0"/>
              <w:spacing w:line="288" w:lineRule="auto"/>
              <w:rPr>
                <w:rFonts w:ascii="宋体" w:hAnsi="宋体"/>
                <w:szCs w:val="21"/>
              </w:rPr>
            </w:pPr>
          </w:p>
        </w:tc>
      </w:tr>
      <w:tr w14:paraId="03B7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vMerge w:val="continue"/>
            <w:tcBorders>
              <w:left w:val="single" w:color="auto" w:sz="4" w:space="0"/>
              <w:right w:val="single" w:color="auto" w:sz="4" w:space="0"/>
            </w:tcBorders>
            <w:noWrap w:val="0"/>
            <w:vAlign w:val="center"/>
          </w:tcPr>
          <w:p w14:paraId="5EB810A2">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00AA98A">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F77DED3">
            <w:pPr>
              <w:snapToGrid w:val="0"/>
              <w:spacing w:line="288" w:lineRule="auto"/>
              <w:rPr>
                <w:rFonts w:ascii="黑体" w:hAnsi="黑体" w:eastAsia="黑体"/>
                <w:szCs w:val="21"/>
              </w:rPr>
            </w:pPr>
            <w:r>
              <w:rPr>
                <w:rFonts w:hint="eastAsia" w:ascii="黑体" w:hAnsi="黑体" w:eastAsia="黑体"/>
                <w:szCs w:val="21"/>
              </w:rPr>
              <w:t>地被、花卉、草坪</w:t>
            </w:r>
          </w:p>
          <w:p w14:paraId="11E9E66B">
            <w:pPr>
              <w:snapToGrid w:val="0"/>
              <w:spacing w:line="288"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存在较多死亡、病虫害现象，苗木长势较差；修剪不及时，高度不符合图纸规范要求；</w:t>
            </w:r>
          </w:p>
          <w:p w14:paraId="673FB4E3">
            <w:pPr>
              <w:snapToGrid w:val="0"/>
              <w:spacing w:line="288"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栽植不均匀、不平整，密度不合理，有明显露土；边缘线条欠顺畅、轮廓线不清晰；</w:t>
            </w:r>
          </w:p>
          <w:p w14:paraId="345BF4E2">
            <w:pPr>
              <w:snapToGrid w:val="0"/>
              <w:spacing w:line="288" w:lineRule="auto"/>
              <w:rPr>
                <w:rFonts w:ascii="黑体" w:hAnsi="黑体" w:eastAsia="黑体"/>
                <w:szCs w:val="21"/>
              </w:rPr>
            </w:pPr>
            <w:r>
              <w:rPr>
                <w:rFonts w:hint="eastAsia" w:ascii="宋体" w:hAnsi="宋体"/>
                <w:szCs w:val="21"/>
              </w:rPr>
              <w:t>3</w:t>
            </w:r>
            <w:r>
              <w:rPr>
                <w:rFonts w:ascii="宋体" w:hAnsi="宋体"/>
                <w:szCs w:val="21"/>
              </w:rPr>
              <w:t>.</w:t>
            </w:r>
            <w:r>
              <w:rPr>
                <w:rFonts w:hint="eastAsia" w:ascii="宋体" w:hAnsi="宋体"/>
                <w:szCs w:val="21"/>
              </w:rPr>
              <w:t>草坪有坑洼凹凸不平现象；与地被衔接不流畅，与</w:t>
            </w:r>
            <w:r>
              <w:rPr>
                <w:rFonts w:hint="eastAsia" w:ascii="宋体" w:hAnsi="宋体"/>
                <w:snapToGrid w:val="0"/>
                <w:spacing w:val="-6"/>
                <w:kern w:val="0"/>
                <w:sz w:val="21"/>
                <w:szCs w:val="21"/>
              </w:rPr>
              <w:t>铺装衔接不自然，收口不精细；硬质衔接存在枯死现象。</w:t>
            </w:r>
          </w:p>
        </w:tc>
        <w:tc>
          <w:tcPr>
            <w:tcW w:w="2409" w:type="dxa"/>
            <w:vMerge w:val="continue"/>
            <w:tcBorders>
              <w:left w:val="single" w:color="auto" w:sz="4" w:space="0"/>
              <w:right w:val="single" w:color="auto" w:sz="4" w:space="0"/>
            </w:tcBorders>
            <w:noWrap w:val="0"/>
            <w:vAlign w:val="center"/>
          </w:tcPr>
          <w:p w14:paraId="60CD74D4">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73E81253">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356C690F">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DDB290C">
            <w:pPr>
              <w:snapToGrid w:val="0"/>
              <w:spacing w:line="288" w:lineRule="auto"/>
              <w:rPr>
                <w:rFonts w:ascii="宋体" w:hAnsi="宋体"/>
                <w:szCs w:val="21"/>
              </w:rPr>
            </w:pPr>
          </w:p>
        </w:tc>
      </w:tr>
      <w:tr w14:paraId="5CA6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67" w:type="dxa"/>
            <w:vMerge w:val="continue"/>
            <w:tcBorders>
              <w:left w:val="single" w:color="auto" w:sz="4" w:space="0"/>
              <w:right w:val="single" w:color="auto" w:sz="4" w:space="0"/>
            </w:tcBorders>
            <w:noWrap w:val="0"/>
            <w:vAlign w:val="center"/>
          </w:tcPr>
          <w:p w14:paraId="049E8A6E">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FAAB3A9">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9ACCEC7">
            <w:pPr>
              <w:snapToGrid w:val="0"/>
              <w:spacing w:line="288" w:lineRule="auto"/>
              <w:rPr>
                <w:rFonts w:ascii="黑体" w:hAnsi="黑体" w:eastAsia="黑体"/>
                <w:szCs w:val="21"/>
              </w:rPr>
            </w:pPr>
            <w:r>
              <w:rPr>
                <w:rFonts w:ascii="黑体" w:hAnsi="黑体" w:eastAsia="黑体"/>
                <w:szCs w:val="21"/>
              </w:rPr>
              <w:t>种植措施</w:t>
            </w:r>
          </w:p>
          <w:p w14:paraId="40D61F61">
            <w:pPr>
              <w:pStyle w:val="2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支撑不齐全，绑扎不牢固，高低不统一，方向不一致；断枝、修剪锯口不平顺，存在暴力折断、撕裂，伤口、切口未涂抹保护；</w:t>
            </w:r>
          </w:p>
          <w:p w14:paraId="5B0956B8">
            <w:pPr>
              <w:pStyle w:val="2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树穴修边不圆顺、不流畅；树干有夹板、竹片，绕杆；透气导管规格材质不一致，方向角度不合理。</w:t>
            </w:r>
          </w:p>
        </w:tc>
        <w:tc>
          <w:tcPr>
            <w:tcW w:w="2409" w:type="dxa"/>
            <w:vMerge w:val="continue"/>
            <w:tcBorders>
              <w:left w:val="single" w:color="auto" w:sz="4" w:space="0"/>
              <w:right w:val="single" w:color="auto" w:sz="4" w:space="0"/>
            </w:tcBorders>
            <w:noWrap w:val="0"/>
            <w:vAlign w:val="center"/>
          </w:tcPr>
          <w:p w14:paraId="0ED07B65">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4D54608E">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1A98494D">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1EB2A5A6">
            <w:pPr>
              <w:snapToGrid w:val="0"/>
              <w:spacing w:line="288" w:lineRule="auto"/>
              <w:rPr>
                <w:rFonts w:ascii="宋体" w:hAnsi="宋体"/>
                <w:szCs w:val="21"/>
              </w:rPr>
            </w:pPr>
          </w:p>
        </w:tc>
      </w:tr>
      <w:tr w14:paraId="4F3D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567" w:type="dxa"/>
            <w:vMerge w:val="restart"/>
            <w:tcBorders>
              <w:left w:val="single" w:color="auto" w:sz="4" w:space="0"/>
              <w:right w:val="single" w:color="auto" w:sz="4" w:space="0"/>
            </w:tcBorders>
            <w:noWrap w:val="0"/>
            <w:vAlign w:val="center"/>
          </w:tcPr>
          <w:p w14:paraId="2140F705">
            <w:pPr>
              <w:snapToGrid w:val="0"/>
              <w:spacing w:line="288" w:lineRule="auto"/>
              <w:jc w:val="center"/>
              <w:rPr>
                <w:rFonts w:ascii="宋体" w:hAnsi="宋体"/>
                <w:szCs w:val="21"/>
              </w:rPr>
            </w:pPr>
            <w:r>
              <w:rPr>
                <w:rFonts w:hint="eastAsia" w:ascii="宋体" w:hAnsi="宋体"/>
                <w:szCs w:val="21"/>
              </w:rPr>
              <w:t>4</w:t>
            </w:r>
          </w:p>
        </w:tc>
        <w:tc>
          <w:tcPr>
            <w:tcW w:w="1277" w:type="dxa"/>
            <w:vMerge w:val="restart"/>
            <w:tcBorders>
              <w:left w:val="single" w:color="auto" w:sz="4" w:space="0"/>
              <w:right w:val="single" w:color="auto" w:sz="4" w:space="0"/>
            </w:tcBorders>
            <w:noWrap w:val="0"/>
            <w:vAlign w:val="center"/>
          </w:tcPr>
          <w:p w14:paraId="21004AB5">
            <w:pPr>
              <w:snapToGrid w:val="0"/>
              <w:spacing w:line="240" w:lineRule="exact"/>
              <w:jc w:val="center"/>
              <w:rPr>
                <w:rFonts w:ascii="宋体" w:hAnsi="宋体"/>
                <w:szCs w:val="21"/>
              </w:rPr>
            </w:pPr>
            <w:r>
              <w:rPr>
                <w:rFonts w:hint="eastAsia" w:ascii="宋体" w:hAnsi="宋体"/>
                <w:szCs w:val="21"/>
              </w:rPr>
              <w:t>安装工程及其它</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4E51576">
            <w:pPr>
              <w:snapToGrid w:val="0"/>
              <w:spacing w:line="288" w:lineRule="auto"/>
              <w:rPr>
                <w:rFonts w:ascii="黑体" w:hAnsi="黑体" w:eastAsia="黑体"/>
                <w:szCs w:val="21"/>
              </w:rPr>
            </w:pPr>
            <w:r>
              <w:rPr>
                <w:rFonts w:ascii="黑体" w:hAnsi="黑体" w:eastAsia="黑体"/>
                <w:szCs w:val="21"/>
              </w:rPr>
              <w:t>一般观感</w:t>
            </w:r>
          </w:p>
          <w:p w14:paraId="1055AE34">
            <w:pPr>
              <w:pStyle w:val="24"/>
              <w:snapToGrid w:val="0"/>
              <w:spacing w:line="288" w:lineRule="auto"/>
              <w:ind w:firstLine="0" w:firstLineChars="0"/>
              <w:rPr>
                <w:szCs w:val="21"/>
              </w:rPr>
            </w:pPr>
            <w:r>
              <w:rPr>
                <w:rFonts w:hint="eastAsia"/>
                <w:szCs w:val="21"/>
              </w:rPr>
              <w:t>1</w:t>
            </w:r>
            <w:r>
              <w:rPr>
                <w:szCs w:val="21"/>
              </w:rPr>
              <w:t>.</w:t>
            </w:r>
            <w:r>
              <w:rPr>
                <w:rFonts w:hint="eastAsia"/>
                <w:szCs w:val="21"/>
              </w:rPr>
              <w:t>钢结构构件有变形、扭曲、裂痕，颜色不均匀、有色差；整体线形、线条不通顺、不流畅，装饰不美观，表面不平整有污染；</w:t>
            </w:r>
          </w:p>
          <w:p w14:paraId="637F4C94">
            <w:pPr>
              <w:pStyle w:val="24"/>
              <w:snapToGrid w:val="0"/>
              <w:spacing w:line="288" w:lineRule="auto"/>
              <w:ind w:firstLine="0" w:firstLineChars="0"/>
              <w:rPr>
                <w:szCs w:val="21"/>
              </w:rPr>
            </w:pPr>
            <w:r>
              <w:rPr>
                <w:rFonts w:hint="eastAsia"/>
                <w:szCs w:val="21"/>
              </w:rPr>
              <w:t>2</w:t>
            </w:r>
            <w:r>
              <w:rPr>
                <w:szCs w:val="21"/>
              </w:rPr>
              <w:t>.</w:t>
            </w:r>
            <w:r>
              <w:rPr>
                <w:rFonts w:hint="eastAsia"/>
                <w:szCs w:val="21"/>
              </w:rPr>
              <w:t>木构件有裂纹、结疤，有明显变形，安装不牢固；</w:t>
            </w:r>
          </w:p>
          <w:p w14:paraId="2CAA901F">
            <w:pPr>
              <w:pStyle w:val="24"/>
              <w:snapToGrid w:val="0"/>
              <w:spacing w:line="288" w:lineRule="auto"/>
              <w:ind w:firstLine="0" w:firstLineChars="0"/>
              <w:rPr>
                <w:szCs w:val="21"/>
              </w:rPr>
            </w:pPr>
            <w:r>
              <w:rPr>
                <w:rFonts w:hint="eastAsia"/>
                <w:szCs w:val="21"/>
              </w:rPr>
              <w:t>3</w:t>
            </w:r>
            <w:r>
              <w:rPr>
                <w:szCs w:val="21"/>
              </w:rPr>
              <w:t>.</w:t>
            </w:r>
            <w:r>
              <w:rPr>
                <w:rFonts w:hint="eastAsia"/>
                <w:szCs w:val="21"/>
              </w:rPr>
              <w:t>水质浑浊，水生或水岸植物搭配不合理、欠美观；</w:t>
            </w:r>
          </w:p>
          <w:p w14:paraId="086D47BC">
            <w:pPr>
              <w:pStyle w:val="24"/>
              <w:snapToGrid w:val="0"/>
              <w:spacing w:line="288" w:lineRule="auto"/>
              <w:ind w:firstLine="0" w:firstLineChars="0"/>
              <w:rPr>
                <w:szCs w:val="21"/>
              </w:rPr>
            </w:pPr>
            <w:r>
              <w:rPr>
                <w:rFonts w:hint="eastAsia"/>
                <w:szCs w:val="21"/>
              </w:rPr>
              <w:t>4</w:t>
            </w:r>
            <w:r>
              <w:rPr>
                <w:szCs w:val="21"/>
              </w:rPr>
              <w:t>.</w:t>
            </w:r>
            <w:r>
              <w:rPr>
                <w:rFonts w:hint="eastAsia"/>
                <w:szCs w:val="21"/>
              </w:rPr>
              <w:t>雨、污不分流，标识不清晰，安装错误，井框收口不美观，与其他部位衔接不顺畅，影响绿化种植；</w:t>
            </w:r>
          </w:p>
          <w:p w14:paraId="365F2DBE">
            <w:pPr>
              <w:pStyle w:val="24"/>
              <w:snapToGrid w:val="0"/>
              <w:spacing w:line="288" w:lineRule="auto"/>
              <w:ind w:firstLine="0" w:firstLineChars="0"/>
              <w:rPr>
                <w:szCs w:val="21"/>
              </w:rPr>
            </w:pPr>
            <w:r>
              <w:rPr>
                <w:rFonts w:hint="eastAsia"/>
                <w:szCs w:val="21"/>
              </w:rPr>
              <w:t>5</w:t>
            </w:r>
            <w:r>
              <w:rPr>
                <w:szCs w:val="21"/>
              </w:rPr>
              <w:t>.</w:t>
            </w:r>
            <w:r>
              <w:rPr>
                <w:rFonts w:hint="eastAsia"/>
                <w:szCs w:val="21"/>
              </w:rPr>
              <w:t>假山叠石有松动现象。</w:t>
            </w:r>
          </w:p>
        </w:tc>
        <w:tc>
          <w:tcPr>
            <w:tcW w:w="2409" w:type="dxa"/>
            <w:vMerge w:val="restart"/>
            <w:tcBorders>
              <w:top w:val="single" w:color="auto" w:sz="4" w:space="0"/>
              <w:left w:val="single" w:color="auto" w:sz="4" w:space="0"/>
              <w:right w:val="single" w:color="auto" w:sz="4" w:space="0"/>
            </w:tcBorders>
            <w:noWrap w:val="0"/>
            <w:vAlign w:val="center"/>
          </w:tcPr>
          <w:p w14:paraId="05058F7E">
            <w:pPr>
              <w:snapToGrid w:val="0"/>
              <w:spacing w:line="288" w:lineRule="auto"/>
              <w:ind w:left="2"/>
              <w:rPr>
                <w:rFonts w:ascii="Calibri" w:hAnsi="Calibri"/>
                <w:szCs w:val="21"/>
              </w:rPr>
            </w:pPr>
            <w:r>
              <w:rPr>
                <w:rFonts w:hint="eastAsia" w:ascii="Calibri" w:hAnsi="Calibri"/>
                <w:szCs w:val="21"/>
              </w:rPr>
              <w:t>1.装饰装修分值按公共建筑装饰类（公共建筑装饰工程）执行；</w:t>
            </w:r>
          </w:p>
          <w:p w14:paraId="34C91C98">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2</w:t>
            </w:r>
            <w:r>
              <w:rPr>
                <w:rFonts w:hint="eastAsia" w:ascii="宋体" w:hAnsi="宋体" w:eastAsia="宋体" w:cs="Times New Roman"/>
                <w:b w:val="0"/>
                <w:bCs w:val="0"/>
                <w:sz w:val="21"/>
                <w:szCs w:val="21"/>
                <w:lang w:val="en-US" w:eastAsia="zh-CN"/>
              </w:rPr>
              <w:t>.</w:t>
            </w:r>
            <w:r>
              <w:rPr>
                <w:rFonts w:hint="eastAsia" w:ascii="宋体" w:hAnsi="宋体" w:eastAsia="宋体" w:cs="Times New Roman"/>
                <w:b w:val="0"/>
                <w:bCs w:val="0"/>
                <w:sz w:val="21"/>
                <w:szCs w:val="21"/>
              </w:rPr>
              <w:t>违反强条的</w:t>
            </w:r>
            <w:r>
              <w:rPr>
                <w:rFonts w:hint="eastAsia" w:ascii="宋体" w:hAnsi="宋体" w:eastAsia="宋体" w:cs="Times New Roman"/>
                <w:b w:val="0"/>
                <w:bCs w:val="0"/>
                <w:sz w:val="21"/>
                <w:szCs w:val="21"/>
                <w:lang w:val="en-US" w:eastAsia="zh-CN"/>
              </w:rPr>
              <w:t>每项扣10</w:t>
            </w:r>
            <w:r>
              <w:rPr>
                <w:rFonts w:hint="eastAsia" w:ascii="宋体" w:hAnsi="宋体" w:eastAsia="宋体" w:cs="Times New Roman"/>
                <w:b w:val="0"/>
                <w:bCs w:val="0"/>
                <w:sz w:val="21"/>
                <w:szCs w:val="21"/>
              </w:rPr>
              <w:t>分；</w:t>
            </w:r>
          </w:p>
          <w:p w14:paraId="64EFF3C0">
            <w:pPr>
              <w:pStyle w:val="2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cs="Times New Roman"/>
                <w:b w:val="0"/>
                <w:bCs w:val="0"/>
                <w:sz w:val="21"/>
                <w:szCs w:val="21"/>
                <w:lang w:val="en-US" w:eastAsia="zh-CN"/>
              </w:rPr>
              <w:t>3</w:t>
            </w:r>
            <w:r>
              <w:rPr>
                <w:rFonts w:hint="eastAsia" w:ascii="宋体" w:hAnsi="宋体" w:eastAsia="宋体" w:cs="Times New Roman"/>
                <w:b w:val="0"/>
                <w:bCs w:val="0"/>
                <w:sz w:val="21"/>
                <w:szCs w:val="21"/>
              </w:rPr>
              <w:t>.存在质量缺陷的每项扣0.5分；</w:t>
            </w:r>
          </w:p>
          <w:p w14:paraId="46A58F8E">
            <w:pPr>
              <w:snapToGrid w:val="0"/>
              <w:spacing w:line="288" w:lineRule="auto"/>
              <w:ind w:left="2"/>
              <w:rPr>
                <w:rFonts w:ascii="Calibri" w:hAnsi="Calibri"/>
                <w:szCs w:val="21"/>
              </w:rPr>
            </w:pPr>
            <w:r>
              <w:rPr>
                <w:rFonts w:hint="eastAsia" w:ascii="宋体" w:hAnsi="宋体" w:cs="Times New Roman"/>
                <w:b w:val="0"/>
                <w:bCs w:val="0"/>
                <w:sz w:val="21"/>
                <w:szCs w:val="21"/>
                <w:lang w:val="en-US" w:eastAsia="zh-CN"/>
              </w:rPr>
              <w:t>4</w:t>
            </w:r>
            <w:r>
              <w:rPr>
                <w:rFonts w:hint="eastAsia" w:ascii="宋体" w:hAnsi="宋体" w:eastAsia="宋体" w:cs="Times New Roman"/>
                <w:b w:val="0"/>
                <w:bCs w:val="0"/>
                <w:sz w:val="21"/>
                <w:szCs w:val="21"/>
                <w:lang w:val="en-US" w:eastAsia="zh-CN"/>
              </w:rPr>
              <w:t>.存在安全隐患的每项扣1分。</w:t>
            </w:r>
          </w:p>
        </w:tc>
        <w:tc>
          <w:tcPr>
            <w:tcW w:w="1701" w:type="dxa"/>
            <w:vMerge w:val="restart"/>
            <w:tcBorders>
              <w:left w:val="single" w:color="auto" w:sz="4" w:space="0"/>
              <w:right w:val="single" w:color="auto" w:sz="4" w:space="0"/>
            </w:tcBorders>
            <w:noWrap w:val="0"/>
            <w:vAlign w:val="center"/>
          </w:tcPr>
          <w:p w14:paraId="3DEAA4EA">
            <w:pPr>
              <w:pStyle w:val="24"/>
              <w:snapToGrid w:val="0"/>
              <w:spacing w:line="288" w:lineRule="auto"/>
              <w:ind w:firstLine="0" w:firstLineChars="0"/>
              <w:rPr>
                <w:szCs w:val="21"/>
              </w:rPr>
            </w:pPr>
            <w:r>
              <w:rPr>
                <w:rFonts w:hint="eastAsia"/>
                <w:szCs w:val="21"/>
              </w:rPr>
              <w:t>1</w:t>
            </w:r>
            <w:r>
              <w:rPr>
                <w:szCs w:val="21"/>
              </w:rPr>
              <w:t>.</w:t>
            </w:r>
            <w:r>
              <w:rPr>
                <w:rFonts w:hint="eastAsia"/>
                <w:szCs w:val="21"/>
              </w:rPr>
              <w:t>涉及工程质量安全、强条项的内容为必查项。</w:t>
            </w:r>
          </w:p>
          <w:p w14:paraId="4E1D65D3">
            <w:pPr>
              <w:pStyle w:val="24"/>
              <w:snapToGrid w:val="0"/>
              <w:spacing w:line="288" w:lineRule="auto"/>
              <w:ind w:firstLine="0" w:firstLineChars="0"/>
              <w:rPr>
                <w:szCs w:val="21"/>
              </w:rPr>
            </w:pPr>
            <w:r>
              <w:rPr>
                <w:rFonts w:hint="eastAsia"/>
                <w:szCs w:val="21"/>
              </w:rPr>
              <w:t>2</w:t>
            </w:r>
            <w:r>
              <w:rPr>
                <w:szCs w:val="21"/>
              </w:rPr>
              <w:t>.</w:t>
            </w:r>
            <w:r>
              <w:rPr>
                <w:rFonts w:hint="eastAsia"/>
                <w:szCs w:val="21"/>
              </w:rPr>
              <w:t>涉及使用功能的内容为必查项。</w:t>
            </w:r>
          </w:p>
          <w:p w14:paraId="006B55C3">
            <w:pPr>
              <w:snapToGrid w:val="0"/>
              <w:spacing w:line="288" w:lineRule="auto"/>
              <w:rPr>
                <w:rFonts w:ascii="Calibri" w:hAnsi="Calibri"/>
                <w:szCs w:val="21"/>
              </w:rPr>
            </w:pPr>
          </w:p>
        </w:tc>
        <w:tc>
          <w:tcPr>
            <w:tcW w:w="851" w:type="dxa"/>
            <w:vMerge w:val="restart"/>
            <w:tcBorders>
              <w:left w:val="single" w:color="auto" w:sz="4" w:space="0"/>
              <w:right w:val="single" w:color="auto" w:sz="4" w:space="0"/>
            </w:tcBorders>
            <w:noWrap w:val="0"/>
            <w:vAlign w:val="center"/>
          </w:tcPr>
          <w:p w14:paraId="75625AD8">
            <w:pPr>
              <w:snapToGrid w:val="0"/>
              <w:spacing w:line="288" w:lineRule="auto"/>
              <w:jc w:val="center"/>
              <w:rPr>
                <w:rFonts w:ascii="宋体" w:hAnsi="宋体"/>
                <w:szCs w:val="21"/>
              </w:rPr>
            </w:pPr>
            <w:r>
              <w:rPr>
                <w:rFonts w:hint="eastAsia" w:ascii="宋体" w:hAnsi="宋体"/>
                <w:szCs w:val="21"/>
              </w:rPr>
              <w:t>25分</w:t>
            </w:r>
          </w:p>
        </w:tc>
        <w:tc>
          <w:tcPr>
            <w:tcW w:w="2268" w:type="dxa"/>
            <w:vMerge w:val="restart"/>
            <w:tcBorders>
              <w:top w:val="single" w:color="auto" w:sz="4" w:space="0"/>
              <w:left w:val="single" w:color="auto" w:sz="4" w:space="0"/>
              <w:right w:val="single" w:color="auto" w:sz="4" w:space="0"/>
            </w:tcBorders>
            <w:noWrap w:val="0"/>
            <w:vAlign w:val="center"/>
          </w:tcPr>
          <w:p w14:paraId="4EF36802">
            <w:pPr>
              <w:snapToGrid w:val="0"/>
              <w:spacing w:line="288" w:lineRule="auto"/>
              <w:rPr>
                <w:szCs w:val="21"/>
              </w:rPr>
            </w:pPr>
            <w:r>
              <w:rPr>
                <w:rFonts w:hint="eastAsia" w:ascii="宋体" w:hAnsi="宋体"/>
                <w:szCs w:val="21"/>
              </w:rPr>
              <w:t>结合图纸、资料查工程实体</w:t>
            </w:r>
          </w:p>
        </w:tc>
      </w:tr>
      <w:tr w14:paraId="46A1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Merge w:val="continue"/>
            <w:tcBorders>
              <w:left w:val="single" w:color="auto" w:sz="4" w:space="0"/>
              <w:right w:val="single" w:color="auto" w:sz="4" w:space="0"/>
            </w:tcBorders>
            <w:noWrap w:val="0"/>
            <w:vAlign w:val="center"/>
          </w:tcPr>
          <w:p w14:paraId="44E08C2A">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7913480">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AF1D1DB">
            <w:pPr>
              <w:snapToGrid w:val="0"/>
              <w:spacing w:line="288" w:lineRule="auto"/>
              <w:rPr>
                <w:rFonts w:ascii="黑体" w:hAnsi="黑体" w:eastAsia="黑体"/>
                <w:szCs w:val="21"/>
              </w:rPr>
            </w:pPr>
            <w:r>
              <w:rPr>
                <w:rFonts w:ascii="黑体" w:hAnsi="黑体" w:eastAsia="黑体"/>
                <w:szCs w:val="21"/>
              </w:rPr>
              <w:t>钢结构</w:t>
            </w:r>
          </w:p>
          <w:p w14:paraId="1392D45E">
            <w:pPr>
              <w:pStyle w:val="24"/>
              <w:snapToGrid w:val="0"/>
              <w:spacing w:line="288" w:lineRule="auto"/>
              <w:ind w:firstLine="0" w:firstLineChars="0"/>
              <w:rPr>
                <w:szCs w:val="21"/>
              </w:rPr>
            </w:pPr>
            <w:r>
              <w:rPr>
                <w:rFonts w:hint="eastAsia"/>
                <w:szCs w:val="21"/>
              </w:rPr>
              <w:t>1</w:t>
            </w:r>
            <w:r>
              <w:rPr>
                <w:szCs w:val="21"/>
              </w:rPr>
              <w:t>.</w:t>
            </w:r>
            <w:r>
              <w:rPr>
                <w:rFonts w:hint="eastAsia"/>
                <w:szCs w:val="21"/>
              </w:rPr>
              <w:t>预埋件设置不合理、不牢固，防锈措施不足；焊缝2</w:t>
            </w:r>
            <w:r>
              <w:rPr>
                <w:szCs w:val="21"/>
              </w:rPr>
              <w:t>.</w:t>
            </w:r>
            <w:r>
              <w:rPr>
                <w:rFonts w:hint="eastAsia"/>
                <w:szCs w:val="21"/>
              </w:rPr>
              <w:t>不饱满圆润，打磨不到位，有明显气孔夹渣，有凹凸打磨不平整现象；</w:t>
            </w:r>
          </w:p>
          <w:p w14:paraId="527A5E7E">
            <w:pPr>
              <w:pStyle w:val="24"/>
              <w:snapToGrid w:val="0"/>
              <w:spacing w:line="288" w:lineRule="auto"/>
              <w:ind w:firstLine="0" w:firstLineChars="0"/>
              <w:rPr>
                <w:szCs w:val="21"/>
              </w:rPr>
            </w:pPr>
            <w:r>
              <w:rPr>
                <w:rFonts w:hint="eastAsia"/>
                <w:szCs w:val="21"/>
              </w:rPr>
              <w:t>3</w:t>
            </w:r>
            <w:r>
              <w:rPr>
                <w:szCs w:val="21"/>
              </w:rPr>
              <w:t>.</w:t>
            </w:r>
            <w:r>
              <w:rPr>
                <w:rFonts w:hint="eastAsia"/>
                <w:szCs w:val="21"/>
              </w:rPr>
              <w:t>焊缝不美观，有松脱；端头未封堵、无防锈装置，有直接裸露现象；</w:t>
            </w:r>
          </w:p>
        </w:tc>
        <w:tc>
          <w:tcPr>
            <w:tcW w:w="2409" w:type="dxa"/>
            <w:vMerge w:val="continue"/>
            <w:tcBorders>
              <w:left w:val="single" w:color="auto" w:sz="4" w:space="0"/>
              <w:right w:val="single" w:color="auto" w:sz="4" w:space="0"/>
            </w:tcBorders>
            <w:noWrap w:val="0"/>
            <w:vAlign w:val="center"/>
          </w:tcPr>
          <w:p w14:paraId="79DFA809">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0167CEA4">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22B21A54">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FCC046D">
            <w:pPr>
              <w:snapToGrid w:val="0"/>
              <w:spacing w:line="288" w:lineRule="auto"/>
              <w:rPr>
                <w:szCs w:val="21"/>
              </w:rPr>
            </w:pPr>
          </w:p>
        </w:tc>
      </w:tr>
      <w:tr w14:paraId="3E70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567" w:type="dxa"/>
            <w:vMerge w:val="continue"/>
            <w:tcBorders>
              <w:left w:val="single" w:color="auto" w:sz="4" w:space="0"/>
              <w:right w:val="single" w:color="auto" w:sz="4" w:space="0"/>
            </w:tcBorders>
            <w:noWrap w:val="0"/>
            <w:vAlign w:val="center"/>
          </w:tcPr>
          <w:p w14:paraId="08FE885B">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C2CC629">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E8AAE73">
            <w:pPr>
              <w:snapToGrid w:val="0"/>
              <w:spacing w:line="288" w:lineRule="auto"/>
              <w:rPr>
                <w:rFonts w:ascii="黑体" w:hAnsi="黑体" w:eastAsia="黑体"/>
                <w:szCs w:val="21"/>
              </w:rPr>
            </w:pPr>
            <w:r>
              <w:rPr>
                <w:rFonts w:hint="eastAsia" w:ascii="黑体" w:hAnsi="黑体" w:eastAsia="黑体"/>
                <w:szCs w:val="21"/>
              </w:rPr>
              <w:t>木饰面、木地板</w:t>
            </w:r>
          </w:p>
          <w:p w14:paraId="3CB6863F">
            <w:pPr>
              <w:pStyle w:val="24"/>
              <w:snapToGrid w:val="0"/>
              <w:spacing w:line="288" w:lineRule="auto"/>
              <w:ind w:firstLine="0" w:firstLineChars="0"/>
              <w:rPr>
                <w:szCs w:val="21"/>
              </w:rPr>
            </w:pPr>
            <w:r>
              <w:rPr>
                <w:rFonts w:hint="eastAsia"/>
                <w:szCs w:val="21"/>
              </w:rPr>
              <w:t>1</w:t>
            </w:r>
            <w:r>
              <w:rPr>
                <w:szCs w:val="21"/>
              </w:rPr>
              <w:t>.</w:t>
            </w:r>
            <w:r>
              <w:rPr>
                <w:rFonts w:hint="eastAsia"/>
                <w:szCs w:val="21"/>
              </w:rPr>
              <w:t>铺装面板安装时缝隙宽度不一致，出现短头，与基层有剥离现象；拼缝有错缝；</w:t>
            </w:r>
          </w:p>
          <w:p w14:paraId="57271BA4">
            <w:pPr>
              <w:pStyle w:val="24"/>
              <w:snapToGrid w:val="0"/>
              <w:spacing w:line="288" w:lineRule="auto"/>
              <w:ind w:firstLine="0" w:firstLineChars="0"/>
              <w:rPr>
                <w:szCs w:val="21"/>
              </w:rPr>
            </w:pPr>
            <w:r>
              <w:rPr>
                <w:rFonts w:hint="eastAsia"/>
                <w:szCs w:val="21"/>
              </w:rPr>
              <w:t>2</w:t>
            </w:r>
            <w:r>
              <w:rPr>
                <w:szCs w:val="21"/>
              </w:rPr>
              <w:t>.</w:t>
            </w:r>
            <w:r>
              <w:rPr>
                <w:rFonts w:hint="eastAsia"/>
                <w:szCs w:val="21"/>
              </w:rPr>
              <w:t>防腐木油涂刷前未抛光处理、有毛刺；涂刷不均匀，有流坠现象；整体色差明显。</w:t>
            </w:r>
          </w:p>
        </w:tc>
        <w:tc>
          <w:tcPr>
            <w:tcW w:w="2409" w:type="dxa"/>
            <w:vMerge w:val="continue"/>
            <w:tcBorders>
              <w:left w:val="single" w:color="auto" w:sz="4" w:space="0"/>
              <w:right w:val="single" w:color="auto" w:sz="4" w:space="0"/>
            </w:tcBorders>
            <w:noWrap w:val="0"/>
            <w:vAlign w:val="center"/>
          </w:tcPr>
          <w:p w14:paraId="5A2B7593">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6808F699">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777139C9">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25DFBFE6">
            <w:pPr>
              <w:snapToGrid w:val="0"/>
              <w:spacing w:line="288" w:lineRule="auto"/>
              <w:rPr>
                <w:szCs w:val="21"/>
              </w:rPr>
            </w:pPr>
          </w:p>
        </w:tc>
      </w:tr>
      <w:tr w14:paraId="11F1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567" w:type="dxa"/>
            <w:vMerge w:val="continue"/>
            <w:tcBorders>
              <w:left w:val="single" w:color="auto" w:sz="4" w:space="0"/>
              <w:right w:val="single" w:color="auto" w:sz="4" w:space="0"/>
            </w:tcBorders>
            <w:noWrap w:val="0"/>
            <w:vAlign w:val="center"/>
          </w:tcPr>
          <w:p w14:paraId="65B8FB7F">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AC4F5FB">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0C012CD">
            <w:pPr>
              <w:snapToGrid w:val="0"/>
              <w:spacing w:line="288" w:lineRule="auto"/>
              <w:rPr>
                <w:rFonts w:ascii="黑体" w:hAnsi="黑体" w:eastAsia="黑体"/>
                <w:szCs w:val="21"/>
              </w:rPr>
            </w:pPr>
            <w:r>
              <w:rPr>
                <w:rFonts w:ascii="黑体" w:hAnsi="黑体" w:eastAsia="黑体"/>
                <w:szCs w:val="21"/>
              </w:rPr>
              <w:t>假山置石</w:t>
            </w:r>
          </w:p>
          <w:p w14:paraId="3E6CA7C0">
            <w:pPr>
              <w:pStyle w:val="24"/>
              <w:snapToGrid w:val="0"/>
              <w:spacing w:line="288" w:lineRule="auto"/>
              <w:ind w:firstLine="0" w:firstLineChars="0"/>
              <w:rPr>
                <w:szCs w:val="21"/>
              </w:rPr>
            </w:pPr>
            <w:r>
              <w:rPr>
                <w:rFonts w:hint="eastAsia"/>
                <w:szCs w:val="21"/>
              </w:rPr>
              <w:t>1</w:t>
            </w:r>
            <w:r>
              <w:rPr>
                <w:szCs w:val="21"/>
              </w:rPr>
              <w:t>.</w:t>
            </w:r>
            <w:r>
              <w:rPr>
                <w:rFonts w:hint="eastAsia"/>
                <w:szCs w:val="21"/>
              </w:rPr>
              <w:t>置石石色、纹理、形体欠协调、不完整；</w:t>
            </w:r>
          </w:p>
          <w:p w14:paraId="59A9DF91">
            <w:pPr>
              <w:pStyle w:val="24"/>
              <w:snapToGrid w:val="0"/>
              <w:spacing w:line="288" w:lineRule="auto"/>
              <w:ind w:firstLine="0" w:firstLineChars="0"/>
              <w:rPr>
                <w:szCs w:val="21"/>
              </w:rPr>
            </w:pPr>
            <w:r>
              <w:rPr>
                <w:rFonts w:hint="eastAsia"/>
                <w:szCs w:val="21"/>
              </w:rPr>
              <w:t>2</w:t>
            </w:r>
            <w:r>
              <w:rPr>
                <w:szCs w:val="21"/>
              </w:rPr>
              <w:t>.</w:t>
            </w:r>
            <w:r>
              <w:rPr>
                <w:rFonts w:hint="eastAsia"/>
                <w:szCs w:val="21"/>
              </w:rPr>
              <w:t>假山叠石的搭接未以石材本身的相互嵌合为主，基础有局部塌陷，有明显坐浆痕迹。</w:t>
            </w:r>
          </w:p>
        </w:tc>
        <w:tc>
          <w:tcPr>
            <w:tcW w:w="2409" w:type="dxa"/>
            <w:vMerge w:val="continue"/>
            <w:tcBorders>
              <w:left w:val="single" w:color="auto" w:sz="4" w:space="0"/>
              <w:right w:val="single" w:color="auto" w:sz="4" w:space="0"/>
            </w:tcBorders>
            <w:noWrap w:val="0"/>
            <w:vAlign w:val="center"/>
          </w:tcPr>
          <w:p w14:paraId="015E86C5">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131802BD">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2B709BD6">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DFEE5DD">
            <w:pPr>
              <w:snapToGrid w:val="0"/>
              <w:spacing w:line="288" w:lineRule="auto"/>
              <w:rPr>
                <w:szCs w:val="21"/>
              </w:rPr>
            </w:pPr>
          </w:p>
        </w:tc>
      </w:tr>
      <w:tr w14:paraId="1A0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trPr>
        <w:tc>
          <w:tcPr>
            <w:tcW w:w="567" w:type="dxa"/>
            <w:vMerge w:val="continue"/>
            <w:tcBorders>
              <w:left w:val="single" w:color="auto" w:sz="4" w:space="0"/>
              <w:right w:val="single" w:color="auto" w:sz="4" w:space="0"/>
            </w:tcBorders>
            <w:noWrap w:val="0"/>
            <w:vAlign w:val="center"/>
          </w:tcPr>
          <w:p w14:paraId="2A05CE64">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3894097">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1E26071">
            <w:pPr>
              <w:snapToGrid w:val="0"/>
              <w:spacing w:line="288" w:lineRule="auto"/>
              <w:rPr>
                <w:rFonts w:ascii="黑体" w:hAnsi="黑体" w:eastAsia="黑体"/>
                <w:szCs w:val="21"/>
              </w:rPr>
            </w:pPr>
            <w:r>
              <w:rPr>
                <w:rFonts w:hint="eastAsia" w:ascii="黑体" w:hAnsi="黑体" w:eastAsia="黑体"/>
                <w:szCs w:val="21"/>
              </w:rPr>
              <w:t>小品及其它</w:t>
            </w:r>
          </w:p>
          <w:p w14:paraId="6A0A4CFF">
            <w:pPr>
              <w:pStyle w:val="24"/>
              <w:snapToGrid w:val="0"/>
              <w:spacing w:line="288" w:lineRule="auto"/>
              <w:ind w:firstLine="0" w:firstLineChars="0"/>
              <w:rPr>
                <w:szCs w:val="21"/>
              </w:rPr>
            </w:pPr>
            <w:r>
              <w:rPr>
                <w:rFonts w:hint="eastAsia"/>
                <w:szCs w:val="21"/>
              </w:rPr>
              <w:t>1</w:t>
            </w:r>
            <w:r>
              <w:rPr>
                <w:szCs w:val="21"/>
              </w:rPr>
              <w:t>.</w:t>
            </w:r>
            <w:r>
              <w:rPr>
                <w:rFonts w:hint="eastAsia"/>
                <w:szCs w:val="21"/>
              </w:rPr>
              <w:t>景观小品加工粗糙，安装欠牢固；</w:t>
            </w:r>
          </w:p>
          <w:p w14:paraId="1C15F23D">
            <w:pPr>
              <w:pStyle w:val="24"/>
              <w:snapToGrid w:val="0"/>
              <w:spacing w:line="288" w:lineRule="auto"/>
              <w:ind w:firstLine="0" w:firstLineChars="0"/>
              <w:rPr>
                <w:szCs w:val="21"/>
              </w:rPr>
            </w:pPr>
            <w:r>
              <w:rPr>
                <w:rFonts w:hint="eastAsia"/>
                <w:szCs w:val="21"/>
              </w:rPr>
              <w:t>2</w:t>
            </w:r>
            <w:r>
              <w:rPr>
                <w:szCs w:val="21"/>
              </w:rPr>
              <w:t>.</w:t>
            </w:r>
            <w:r>
              <w:rPr>
                <w:rFonts w:hint="eastAsia"/>
                <w:szCs w:val="21"/>
              </w:rPr>
              <w:t>灯具安装方向不统一，有偏斜；油漆喷涂有脱落、划痕、垂直倾斜晃动，与石材、铺装贴合不严密；安装不牢固、有翘边；</w:t>
            </w:r>
          </w:p>
          <w:p w14:paraId="7A0F8200">
            <w:pPr>
              <w:pStyle w:val="24"/>
              <w:snapToGrid w:val="0"/>
              <w:spacing w:line="288" w:lineRule="auto"/>
              <w:ind w:firstLine="0" w:firstLineChars="0"/>
              <w:rPr>
                <w:szCs w:val="21"/>
              </w:rPr>
            </w:pPr>
            <w:r>
              <w:rPr>
                <w:rFonts w:hint="eastAsia"/>
                <w:szCs w:val="21"/>
              </w:rPr>
              <w:t>3</w:t>
            </w:r>
            <w:r>
              <w:rPr>
                <w:szCs w:val="21"/>
              </w:rPr>
              <w:t>.</w:t>
            </w:r>
            <w:r>
              <w:rPr>
                <w:rFonts w:hint="eastAsia"/>
                <w:szCs w:val="21"/>
              </w:rPr>
              <w:t>射树灯照射方向不准确，台阶灯照射正对行人方向；</w:t>
            </w:r>
          </w:p>
          <w:p w14:paraId="413CD272">
            <w:pPr>
              <w:pStyle w:val="24"/>
              <w:snapToGrid w:val="0"/>
              <w:spacing w:line="288" w:lineRule="auto"/>
              <w:ind w:firstLine="0" w:firstLineChars="0"/>
              <w:rPr>
                <w:szCs w:val="21"/>
              </w:rPr>
            </w:pPr>
            <w:r>
              <w:rPr>
                <w:rFonts w:hint="eastAsia"/>
                <w:szCs w:val="21"/>
              </w:rPr>
              <w:t>4</w:t>
            </w:r>
            <w:r>
              <w:rPr>
                <w:szCs w:val="21"/>
              </w:rPr>
              <w:t>.</w:t>
            </w:r>
            <w:r>
              <w:rPr>
                <w:rFonts w:hint="eastAsia"/>
                <w:szCs w:val="21"/>
              </w:rPr>
              <w:t>回水、溢水装置设置不合理，饰面与周围关系不协调；跌水口出水不均匀；水系岸线欠流畅；</w:t>
            </w:r>
          </w:p>
          <w:p w14:paraId="784AE838">
            <w:pPr>
              <w:pStyle w:val="24"/>
              <w:snapToGrid w:val="0"/>
              <w:spacing w:line="288" w:lineRule="auto"/>
              <w:ind w:firstLine="0" w:firstLineChars="0"/>
              <w:rPr>
                <w:szCs w:val="21"/>
              </w:rPr>
            </w:pPr>
            <w:r>
              <w:rPr>
                <w:rFonts w:hint="eastAsia"/>
                <w:szCs w:val="21"/>
              </w:rPr>
              <w:t>5</w:t>
            </w:r>
            <w:r>
              <w:rPr>
                <w:szCs w:val="21"/>
              </w:rPr>
              <w:t>.</w:t>
            </w:r>
            <w:r>
              <w:rPr>
                <w:rFonts w:hint="eastAsia"/>
                <w:szCs w:val="21"/>
              </w:rPr>
              <w:t>装饰面细节处理不到位。</w:t>
            </w:r>
          </w:p>
        </w:tc>
        <w:tc>
          <w:tcPr>
            <w:tcW w:w="2409" w:type="dxa"/>
            <w:vMerge w:val="continue"/>
            <w:tcBorders>
              <w:left w:val="single" w:color="auto" w:sz="4" w:space="0"/>
              <w:right w:val="single" w:color="auto" w:sz="4" w:space="0"/>
            </w:tcBorders>
            <w:noWrap w:val="0"/>
            <w:vAlign w:val="center"/>
          </w:tcPr>
          <w:p w14:paraId="34FBA7D8">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4623A8C2">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1FCAB41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0CB49FB">
            <w:pPr>
              <w:snapToGrid w:val="0"/>
              <w:spacing w:line="288" w:lineRule="auto"/>
              <w:rPr>
                <w:szCs w:val="21"/>
              </w:rPr>
            </w:pPr>
          </w:p>
        </w:tc>
      </w:tr>
      <w:tr w14:paraId="3954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67" w:type="dxa"/>
            <w:tcBorders>
              <w:left w:val="single" w:color="auto" w:sz="4" w:space="0"/>
              <w:bottom w:val="single" w:color="auto" w:sz="4" w:space="0"/>
              <w:right w:val="single" w:color="auto" w:sz="4" w:space="0"/>
            </w:tcBorders>
            <w:noWrap w:val="0"/>
            <w:vAlign w:val="center"/>
          </w:tcPr>
          <w:p w14:paraId="202134B2">
            <w:pPr>
              <w:snapToGrid w:val="0"/>
              <w:spacing w:line="360" w:lineRule="auto"/>
              <w:jc w:val="center"/>
              <w:rPr>
                <w:rFonts w:ascii="宋体" w:hAnsi="宋体"/>
                <w:color w:val="auto"/>
                <w:szCs w:val="21"/>
              </w:rPr>
            </w:pPr>
            <w:r>
              <w:rPr>
                <w:rFonts w:hint="eastAsia" w:ascii="宋体" w:hAnsi="宋体"/>
                <w:color w:val="auto"/>
                <w:szCs w:val="21"/>
              </w:rPr>
              <w:t>6</w:t>
            </w:r>
          </w:p>
        </w:tc>
        <w:tc>
          <w:tcPr>
            <w:tcW w:w="1277" w:type="dxa"/>
            <w:tcBorders>
              <w:left w:val="single" w:color="auto" w:sz="4" w:space="0"/>
              <w:right w:val="single" w:color="auto" w:sz="4" w:space="0"/>
            </w:tcBorders>
            <w:noWrap w:val="0"/>
            <w:vAlign w:val="center"/>
          </w:tcPr>
          <w:p w14:paraId="76BCB529">
            <w:pPr>
              <w:snapToGrid w:val="0"/>
              <w:spacing w:line="360" w:lineRule="auto"/>
              <w:jc w:val="center"/>
              <w:rPr>
                <w:rFonts w:ascii="宋体" w:hAnsi="宋体"/>
                <w:color w:val="auto"/>
                <w:szCs w:val="21"/>
              </w:rPr>
            </w:pPr>
            <w:r>
              <w:rPr>
                <w:rFonts w:ascii="宋体" w:hAnsi="宋体"/>
                <w:color w:val="auto"/>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90B0E3B">
            <w:pPr>
              <w:pStyle w:val="24"/>
              <w:snapToGrid w:val="0"/>
              <w:spacing w:line="288"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创新技术、工艺、工法等；</w:t>
            </w:r>
          </w:p>
          <w:p w14:paraId="676C79F1">
            <w:pPr>
              <w:pStyle w:val="24"/>
              <w:snapToGrid w:val="0"/>
              <w:spacing w:line="288" w:lineRule="auto"/>
              <w:ind w:firstLine="0" w:firstLineChars="0"/>
              <w:rPr>
                <w:color w:val="auto"/>
                <w:szCs w:val="21"/>
              </w:rPr>
            </w:pPr>
            <w:r>
              <w:rPr>
                <w:rFonts w:hint="eastAsia"/>
                <w:color w:val="auto"/>
                <w:szCs w:val="21"/>
              </w:rPr>
              <w:t>2</w:t>
            </w:r>
            <w:r>
              <w:rPr>
                <w:color w:val="auto"/>
                <w:szCs w:val="21"/>
              </w:rPr>
              <w:t>.</w:t>
            </w:r>
            <w:r>
              <w:rPr>
                <w:rFonts w:hint="eastAsia"/>
                <w:color w:val="auto"/>
                <w:szCs w:val="21"/>
              </w:rPr>
              <w:t>采用了新材料、新工艺、新技术或有利于环保节能等的材料、技术、措施、工艺、工法等；</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3278E86">
            <w:pPr>
              <w:snapToGrid w:val="0"/>
              <w:spacing w:line="276" w:lineRule="auto"/>
              <w:rPr>
                <w:rFonts w:hint="eastAsia" w:ascii="Times New Roman" w:hAnsi="Times New Roman" w:eastAsia="宋体" w:cs="Times New Roman"/>
                <w:b w:val="0"/>
                <w:bCs w:val="0"/>
                <w:color w:val="auto"/>
                <w:sz w:val="21"/>
                <w:szCs w:val="21"/>
                <w:lang w:eastAsia="zh-CN"/>
              </w:rPr>
            </w:pPr>
            <w:r>
              <w:rPr>
                <w:rFonts w:hint="eastAsia" w:ascii="Times New Roman" w:hAnsi="Times New Roman" w:cs="Times New Roman"/>
                <w:b w:val="0"/>
                <w:bCs w:val="0"/>
                <w:color w:val="auto"/>
                <w:sz w:val="21"/>
                <w:szCs w:val="21"/>
                <w:lang w:val="en-US" w:eastAsia="zh-CN"/>
              </w:rPr>
              <w:t>1.</w:t>
            </w:r>
            <w:r>
              <w:rPr>
                <w:rFonts w:hint="eastAsia" w:ascii="Times New Roman" w:hAnsi="Times New Roman" w:eastAsia="宋体" w:cs="Times New Roman"/>
                <w:b w:val="0"/>
                <w:bCs w:val="0"/>
                <w:color w:val="auto"/>
                <w:sz w:val="21"/>
                <w:szCs w:val="21"/>
                <w:lang w:val="en-US" w:eastAsia="zh-CN"/>
              </w:rPr>
              <w:t>第1项没有的</w:t>
            </w:r>
            <w:r>
              <w:rPr>
                <w:rFonts w:hint="eastAsia" w:ascii="Times New Roman" w:hAnsi="Times New Roman" w:eastAsia="宋体" w:cs="Times New Roman"/>
                <w:b w:val="0"/>
                <w:bCs w:val="0"/>
                <w:color w:val="auto"/>
                <w:sz w:val="21"/>
                <w:szCs w:val="21"/>
              </w:rPr>
              <w:t>扣</w:t>
            </w:r>
            <w:r>
              <w:rPr>
                <w:rFonts w:hint="eastAsia" w:ascii="Times New Roman" w:hAnsi="Times New Roman" w:eastAsia="宋体" w:cs="Times New Roman"/>
                <w:b w:val="0"/>
                <w:bCs w:val="0"/>
                <w:color w:val="auto"/>
                <w:sz w:val="21"/>
                <w:szCs w:val="21"/>
                <w:lang w:val="en-US" w:eastAsia="zh-CN"/>
              </w:rPr>
              <w:t>3</w:t>
            </w:r>
            <w:r>
              <w:rPr>
                <w:rFonts w:hint="eastAsia" w:ascii="Times New Roman" w:hAnsi="Times New Roman" w:eastAsia="宋体" w:cs="Times New Roman"/>
                <w:b w:val="0"/>
                <w:bCs w:val="0"/>
                <w:color w:val="auto"/>
                <w:sz w:val="21"/>
                <w:szCs w:val="21"/>
              </w:rPr>
              <w:t>分</w:t>
            </w:r>
            <w:r>
              <w:rPr>
                <w:rFonts w:hint="eastAsia" w:ascii="Times New Roman" w:hAnsi="Times New Roman" w:cs="Times New Roman"/>
                <w:b w:val="0"/>
                <w:bCs w:val="0"/>
                <w:color w:val="auto"/>
                <w:sz w:val="21"/>
                <w:szCs w:val="21"/>
                <w:lang w:eastAsia="zh-CN"/>
              </w:rPr>
              <w:t>；</w:t>
            </w:r>
          </w:p>
          <w:p w14:paraId="04CD0C56">
            <w:pPr>
              <w:snapToGrid w:val="0"/>
              <w:spacing w:line="276" w:lineRule="auto"/>
              <w:rPr>
                <w:rFonts w:ascii="宋体" w:hAnsi="宋体"/>
                <w:color w:val="auto"/>
                <w:szCs w:val="21"/>
              </w:rPr>
            </w:pPr>
            <w:r>
              <w:rPr>
                <w:rFonts w:hint="eastAsia" w:ascii="Times New Roman" w:hAnsi="Times New Roman" w:cs="Times New Roman"/>
                <w:b w:val="0"/>
                <w:bCs w:val="0"/>
                <w:color w:val="auto"/>
                <w:sz w:val="21"/>
                <w:szCs w:val="21"/>
                <w:lang w:val="en-US" w:eastAsia="zh-CN"/>
              </w:rPr>
              <w:t>2.</w:t>
            </w:r>
            <w:r>
              <w:rPr>
                <w:rFonts w:hint="eastAsia" w:ascii="Times New Roman" w:hAnsi="Times New Roman" w:eastAsia="宋体" w:cs="Times New Roman"/>
                <w:b w:val="0"/>
                <w:bCs w:val="0"/>
                <w:color w:val="auto"/>
                <w:sz w:val="21"/>
                <w:szCs w:val="21"/>
                <w:lang w:val="en-US" w:eastAsia="zh-CN"/>
              </w:rPr>
              <w:t>第2项没有的扣</w:t>
            </w:r>
            <w:r>
              <w:rPr>
                <w:rFonts w:hint="eastAsia" w:ascii="Times New Roman" w:hAnsi="Times New Roman" w:cs="Times New Roman"/>
                <w:b w:val="0"/>
                <w:bCs w:val="0"/>
                <w:color w:val="auto"/>
                <w:sz w:val="21"/>
                <w:szCs w:val="21"/>
                <w:lang w:val="en-US" w:eastAsia="zh-CN"/>
              </w:rPr>
              <w:t>2</w:t>
            </w:r>
            <w:r>
              <w:rPr>
                <w:rFonts w:hint="eastAsia" w:ascii="Times New Roman" w:hAnsi="Times New Roman" w:eastAsia="宋体" w:cs="Times New Roman"/>
                <w:b w:val="0"/>
                <w:bCs w:val="0"/>
                <w:color w:val="auto"/>
                <w:sz w:val="21"/>
                <w:szCs w:val="21"/>
                <w:lang w:val="en-US" w:eastAsia="zh-CN"/>
              </w:rPr>
              <w:t>分</w:t>
            </w:r>
            <w:r>
              <w:rPr>
                <w:rFonts w:hint="eastAsia" w:ascii="Times New Roman" w:hAnsi="Times New Roman" w:cs="Times New Roman"/>
                <w:b w:val="0"/>
                <w:bCs w:val="0"/>
                <w:color w:val="auto"/>
                <w:sz w:val="21"/>
                <w:szCs w:val="21"/>
                <w:lang w:val="en-US" w:eastAsia="zh-CN"/>
              </w:rPr>
              <w:t>。</w:t>
            </w:r>
          </w:p>
        </w:tc>
        <w:tc>
          <w:tcPr>
            <w:tcW w:w="1701" w:type="dxa"/>
            <w:tcBorders>
              <w:left w:val="single" w:color="auto" w:sz="4" w:space="0"/>
              <w:right w:val="single" w:color="auto" w:sz="4" w:space="0"/>
            </w:tcBorders>
            <w:noWrap w:val="0"/>
            <w:vAlign w:val="center"/>
          </w:tcPr>
          <w:p w14:paraId="22D0E7EA">
            <w:pPr>
              <w:snapToGrid w:val="0"/>
              <w:spacing w:line="360" w:lineRule="auto"/>
              <w:jc w:val="center"/>
              <w:rPr>
                <w:rFonts w:ascii="宋体" w:hAnsi="宋体"/>
                <w:color w:val="auto"/>
                <w:szCs w:val="21"/>
              </w:rPr>
            </w:pPr>
          </w:p>
        </w:tc>
        <w:tc>
          <w:tcPr>
            <w:tcW w:w="851" w:type="dxa"/>
            <w:tcBorders>
              <w:left w:val="single" w:color="auto" w:sz="4" w:space="0"/>
              <w:right w:val="single" w:color="auto" w:sz="4" w:space="0"/>
            </w:tcBorders>
            <w:noWrap w:val="0"/>
            <w:vAlign w:val="center"/>
          </w:tcPr>
          <w:p w14:paraId="093169A7">
            <w:pPr>
              <w:snapToGrid w:val="0"/>
              <w:spacing w:line="360"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270A37C">
            <w:pPr>
              <w:snapToGrid w:val="0"/>
              <w:spacing w:line="360" w:lineRule="auto"/>
              <w:rPr>
                <w:rFonts w:ascii="宋体" w:hAnsi="宋体"/>
                <w:color w:val="auto"/>
                <w:szCs w:val="21"/>
              </w:rPr>
            </w:pPr>
            <w:r>
              <w:rPr>
                <w:rFonts w:hint="eastAsia" w:ascii="宋体" w:hAnsi="宋体"/>
                <w:color w:val="auto"/>
                <w:szCs w:val="21"/>
              </w:rPr>
              <w:t>查：工程实体、图纸、证书、质量管理与技术资料等。</w:t>
            </w:r>
          </w:p>
        </w:tc>
      </w:tr>
      <w:tr w14:paraId="0953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567" w:type="dxa"/>
            <w:tcBorders>
              <w:left w:val="single" w:color="auto" w:sz="4" w:space="0"/>
              <w:bottom w:val="single" w:color="auto" w:sz="4" w:space="0"/>
              <w:right w:val="single" w:color="auto" w:sz="4" w:space="0"/>
            </w:tcBorders>
            <w:noWrap w:val="0"/>
            <w:vAlign w:val="center"/>
          </w:tcPr>
          <w:p w14:paraId="3C1C31F0">
            <w:pPr>
              <w:snapToGrid w:val="0"/>
              <w:spacing w:line="288" w:lineRule="auto"/>
              <w:jc w:val="center"/>
              <w:rPr>
                <w:rFonts w:ascii="宋体" w:hAnsi="宋体"/>
                <w:color w:val="auto"/>
                <w:szCs w:val="21"/>
              </w:rPr>
            </w:pPr>
            <w:r>
              <w:rPr>
                <w:rFonts w:hint="eastAsia" w:ascii="宋体" w:hAnsi="宋体"/>
                <w:color w:val="auto"/>
                <w:szCs w:val="21"/>
              </w:rPr>
              <w:t>7</w:t>
            </w:r>
          </w:p>
        </w:tc>
        <w:tc>
          <w:tcPr>
            <w:tcW w:w="1277" w:type="dxa"/>
            <w:tcBorders>
              <w:left w:val="single" w:color="auto" w:sz="4" w:space="0"/>
              <w:right w:val="single" w:color="auto" w:sz="4" w:space="0"/>
            </w:tcBorders>
            <w:noWrap w:val="0"/>
            <w:vAlign w:val="center"/>
          </w:tcPr>
          <w:p w14:paraId="7588B956">
            <w:pPr>
              <w:snapToGrid w:val="0"/>
              <w:spacing w:line="240" w:lineRule="exact"/>
              <w:jc w:val="center"/>
              <w:rPr>
                <w:rFonts w:ascii="宋体" w:hAnsi="宋体"/>
                <w:color w:val="auto"/>
                <w:szCs w:val="21"/>
              </w:rPr>
            </w:pPr>
            <w:r>
              <w:rPr>
                <w:rFonts w:ascii="宋体" w:hAnsi="宋体"/>
                <w:color w:val="auto"/>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9015AC8">
            <w:pPr>
              <w:snapToGrid w:val="0"/>
              <w:spacing w:line="360" w:lineRule="auto"/>
              <w:rPr>
                <w:color w:val="auto"/>
                <w:szCs w:val="21"/>
              </w:rPr>
            </w:pPr>
            <w:r>
              <w:rPr>
                <w:rFonts w:hint="eastAsia"/>
                <w:color w:val="auto"/>
                <w:szCs w:val="21"/>
              </w:rPr>
              <w:t>1</w:t>
            </w:r>
            <w:r>
              <w:rPr>
                <w:color w:val="auto"/>
                <w:szCs w:val="21"/>
              </w:rPr>
              <w:t>.</w:t>
            </w:r>
            <w:r>
              <w:rPr>
                <w:rFonts w:hint="eastAsia"/>
                <w:color w:val="auto"/>
                <w:szCs w:val="21"/>
              </w:rPr>
              <w:t>组织工作准备充分，项目经理或执行经理、技术负责人和资料员等主要相关人员到场，汇报PPT内容重点突出、简单明了；</w:t>
            </w:r>
          </w:p>
          <w:p w14:paraId="55DF6EFE">
            <w:pPr>
              <w:snapToGrid w:val="0"/>
              <w:spacing w:line="360" w:lineRule="auto"/>
              <w:rPr>
                <w:color w:val="auto"/>
                <w:szCs w:val="21"/>
              </w:rPr>
            </w:pPr>
            <w:r>
              <w:rPr>
                <w:rFonts w:hint="eastAsia"/>
                <w:color w:val="auto"/>
                <w:szCs w:val="21"/>
              </w:rPr>
              <w:t>2</w:t>
            </w:r>
            <w:r>
              <w:rPr>
                <w:color w:val="auto"/>
                <w:szCs w:val="21"/>
              </w:rPr>
              <w:t>.</w:t>
            </w:r>
            <w:r>
              <w:rPr>
                <w:rFonts w:hint="eastAsia"/>
                <w:color w:val="auto"/>
                <w:szCs w:val="21"/>
              </w:rPr>
              <w:t>资料准备充分有序，易于查找；</w:t>
            </w:r>
          </w:p>
          <w:p w14:paraId="3B81B049">
            <w:pPr>
              <w:snapToGrid w:val="0"/>
              <w:spacing w:line="360" w:lineRule="auto"/>
              <w:rPr>
                <w:color w:val="auto"/>
                <w:szCs w:val="21"/>
              </w:rPr>
            </w:pPr>
            <w:r>
              <w:rPr>
                <w:rFonts w:hint="eastAsia"/>
                <w:color w:val="auto"/>
                <w:szCs w:val="21"/>
              </w:rPr>
              <w:t>3</w:t>
            </w:r>
            <w:r>
              <w:rPr>
                <w:color w:val="auto"/>
                <w:szCs w:val="21"/>
              </w:rPr>
              <w:t>.</w:t>
            </w:r>
            <w:r>
              <w:rPr>
                <w:rFonts w:hint="eastAsia"/>
                <w:color w:val="auto"/>
                <w:szCs w:val="21"/>
              </w:rPr>
              <w:t>用户沟通意见；</w:t>
            </w:r>
          </w:p>
          <w:p w14:paraId="53C2DC28">
            <w:pPr>
              <w:snapToGrid w:val="0"/>
              <w:spacing w:line="360" w:lineRule="auto"/>
              <w:rPr>
                <w:color w:val="auto"/>
                <w:szCs w:val="21"/>
              </w:rPr>
            </w:pPr>
            <w:r>
              <w:rPr>
                <w:rFonts w:hint="eastAsia"/>
                <w:color w:val="auto"/>
                <w:szCs w:val="21"/>
              </w:rPr>
              <w:t>4</w:t>
            </w:r>
            <w:r>
              <w:rPr>
                <w:color w:val="auto"/>
                <w:szCs w:val="21"/>
              </w:rPr>
              <w:t>.</w:t>
            </w:r>
            <w:r>
              <w:rPr>
                <w:rFonts w:hint="eastAsia"/>
                <w:color w:val="auto"/>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46CB0E8">
            <w:pPr>
              <w:snapToGrid w:val="0"/>
              <w:spacing w:line="276" w:lineRule="auto"/>
              <w:rPr>
                <w:color w:val="auto"/>
                <w:szCs w:val="21"/>
              </w:rPr>
            </w:pPr>
            <w:r>
              <w:rPr>
                <w:rFonts w:hint="eastAsia"/>
                <w:color w:val="auto"/>
                <w:szCs w:val="21"/>
              </w:rPr>
              <w:t>1</w:t>
            </w:r>
            <w:r>
              <w:rPr>
                <w:color w:val="auto"/>
                <w:szCs w:val="21"/>
              </w:rPr>
              <w:t>.</w:t>
            </w:r>
            <w:r>
              <w:rPr>
                <w:rFonts w:hint="eastAsia"/>
                <w:color w:val="auto"/>
                <w:szCs w:val="21"/>
              </w:rPr>
              <w:t>工程施工主要负责人未到场(扣</w:t>
            </w:r>
            <w:r>
              <w:rPr>
                <w:rFonts w:hint="eastAsia"/>
                <w:color w:val="auto"/>
                <w:szCs w:val="21"/>
                <w:lang w:val="en-US" w:eastAsia="zh-CN"/>
              </w:rPr>
              <w:t>3</w:t>
            </w:r>
            <w:r>
              <w:rPr>
                <w:rFonts w:hint="eastAsia"/>
                <w:color w:val="auto"/>
                <w:szCs w:val="21"/>
              </w:rPr>
              <w:t>分)；</w:t>
            </w:r>
          </w:p>
          <w:p w14:paraId="041123F0">
            <w:pPr>
              <w:snapToGrid w:val="0"/>
              <w:spacing w:line="276" w:lineRule="auto"/>
              <w:rPr>
                <w:color w:val="auto"/>
                <w:szCs w:val="21"/>
              </w:rPr>
            </w:pPr>
            <w:r>
              <w:rPr>
                <w:rFonts w:hint="eastAsia"/>
                <w:color w:val="auto"/>
                <w:szCs w:val="21"/>
              </w:rPr>
              <w:t>2</w:t>
            </w:r>
            <w:r>
              <w:rPr>
                <w:color w:val="auto"/>
                <w:szCs w:val="21"/>
              </w:rPr>
              <w:t>.</w:t>
            </w:r>
            <w:r>
              <w:rPr>
                <w:rFonts w:hint="eastAsia"/>
                <w:color w:val="auto"/>
                <w:szCs w:val="21"/>
              </w:rPr>
              <w:t>资料准备无序不齐全(扣</w:t>
            </w:r>
            <w:r>
              <w:rPr>
                <w:rFonts w:hint="eastAsia"/>
                <w:color w:val="auto"/>
                <w:szCs w:val="21"/>
                <w:lang w:val="en-US" w:eastAsia="zh-CN"/>
              </w:rPr>
              <w:t>2</w:t>
            </w:r>
            <w:r>
              <w:rPr>
                <w:rFonts w:hint="eastAsia"/>
                <w:color w:val="auto"/>
                <w:szCs w:val="21"/>
              </w:rPr>
              <w:t>分)；</w:t>
            </w:r>
          </w:p>
          <w:p w14:paraId="70E2AF74">
            <w:pPr>
              <w:snapToGrid w:val="0"/>
              <w:spacing w:line="276" w:lineRule="auto"/>
              <w:rPr>
                <w:color w:val="auto"/>
                <w:szCs w:val="21"/>
              </w:rPr>
            </w:pPr>
            <w:r>
              <w:rPr>
                <w:rFonts w:hint="eastAsia"/>
                <w:color w:val="auto"/>
                <w:szCs w:val="21"/>
              </w:rPr>
              <w:t>3</w:t>
            </w:r>
            <w:r>
              <w:rPr>
                <w:color w:val="auto"/>
                <w:szCs w:val="21"/>
              </w:rPr>
              <w:t>.</w:t>
            </w:r>
            <w:r>
              <w:rPr>
                <w:rFonts w:hint="eastAsia"/>
                <w:color w:val="auto"/>
                <w:szCs w:val="21"/>
              </w:rPr>
              <w:t>总体印象不佳(扣1-5分)；</w:t>
            </w:r>
          </w:p>
          <w:p w14:paraId="0F6E981F">
            <w:pPr>
              <w:snapToGrid w:val="0"/>
              <w:spacing w:line="276" w:lineRule="auto"/>
              <w:rPr>
                <w:color w:val="auto"/>
                <w:szCs w:val="21"/>
              </w:rPr>
            </w:pPr>
            <w:r>
              <w:rPr>
                <w:rFonts w:hint="eastAsia"/>
                <w:color w:val="auto"/>
                <w:szCs w:val="21"/>
              </w:rPr>
              <w:t>4</w:t>
            </w:r>
            <w:r>
              <w:rPr>
                <w:color w:val="auto"/>
                <w:szCs w:val="21"/>
              </w:rPr>
              <w:t>.</w:t>
            </w:r>
            <w:r>
              <w:rPr>
                <w:rFonts w:hint="eastAsia"/>
                <w:color w:val="auto"/>
                <w:szCs w:val="21"/>
              </w:rPr>
              <w:t>其它不规范、不到位情况(每项扣0.5-1分)。</w:t>
            </w:r>
          </w:p>
        </w:tc>
        <w:tc>
          <w:tcPr>
            <w:tcW w:w="1701" w:type="dxa"/>
            <w:tcBorders>
              <w:left w:val="single" w:color="auto" w:sz="4" w:space="0"/>
              <w:right w:val="single" w:color="auto" w:sz="4" w:space="0"/>
            </w:tcBorders>
            <w:noWrap w:val="0"/>
            <w:vAlign w:val="center"/>
          </w:tcPr>
          <w:p w14:paraId="6FCD1DB4">
            <w:pPr>
              <w:snapToGrid w:val="0"/>
              <w:spacing w:line="288" w:lineRule="auto"/>
              <w:jc w:val="left"/>
              <w:rPr>
                <w:rFonts w:ascii="宋体" w:hAnsi="宋体"/>
                <w:color w:val="auto"/>
                <w:szCs w:val="21"/>
              </w:rPr>
            </w:pPr>
            <w:r>
              <w:rPr>
                <w:rFonts w:hint="eastAsia" w:ascii="宋体" w:hAnsi="宋体"/>
                <w:color w:val="auto"/>
                <w:szCs w:val="21"/>
              </w:rPr>
              <w:t>人员、资料、过程安排准备不足；未做PPT汇报资料等</w:t>
            </w:r>
          </w:p>
        </w:tc>
        <w:tc>
          <w:tcPr>
            <w:tcW w:w="851" w:type="dxa"/>
            <w:tcBorders>
              <w:left w:val="single" w:color="auto" w:sz="4" w:space="0"/>
              <w:right w:val="single" w:color="auto" w:sz="4" w:space="0"/>
            </w:tcBorders>
            <w:noWrap w:val="0"/>
            <w:vAlign w:val="center"/>
          </w:tcPr>
          <w:p w14:paraId="2DCB0DF0">
            <w:pPr>
              <w:snapToGrid w:val="0"/>
              <w:spacing w:line="288" w:lineRule="auto"/>
              <w:jc w:val="center"/>
              <w:rPr>
                <w:rFonts w:ascii="宋体" w:hAnsi="宋体"/>
                <w:color w:val="auto"/>
                <w:szCs w:val="21"/>
              </w:rPr>
            </w:pPr>
            <w:r>
              <w:rPr>
                <w:rFonts w:hint="eastAsia" w:ascii="宋体" w:hAnsi="宋体"/>
                <w:color w:val="auto"/>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E849628">
            <w:pPr>
              <w:pStyle w:val="24"/>
              <w:snapToGrid w:val="0"/>
              <w:spacing w:line="288"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组织准备情况等；</w:t>
            </w:r>
          </w:p>
          <w:p w14:paraId="144F470A">
            <w:pPr>
              <w:pStyle w:val="24"/>
              <w:snapToGrid w:val="0"/>
              <w:spacing w:line="288" w:lineRule="auto"/>
              <w:ind w:firstLine="0" w:firstLineChars="0"/>
              <w:rPr>
                <w:color w:val="auto"/>
                <w:szCs w:val="21"/>
              </w:rPr>
            </w:pPr>
            <w:r>
              <w:rPr>
                <w:color w:val="auto"/>
                <w:szCs w:val="21"/>
              </w:rPr>
              <w:t>2.</w:t>
            </w:r>
            <w:r>
              <w:rPr>
                <w:rFonts w:hint="eastAsia"/>
                <w:color w:val="auto"/>
                <w:szCs w:val="21"/>
              </w:rPr>
              <w:t>PPT(项目概况、施工范围、重点难点亮点、施工过程中情况图片等,汇报时间10分钟内)；</w:t>
            </w:r>
          </w:p>
          <w:p w14:paraId="3EA86DA1">
            <w:pPr>
              <w:pStyle w:val="24"/>
              <w:snapToGrid w:val="0"/>
              <w:spacing w:line="288" w:lineRule="auto"/>
              <w:ind w:firstLine="0" w:firstLineChars="0"/>
              <w:rPr>
                <w:color w:val="auto"/>
                <w:szCs w:val="21"/>
              </w:rPr>
            </w:pPr>
            <w:r>
              <w:rPr>
                <w:color w:val="auto"/>
                <w:szCs w:val="21"/>
              </w:rPr>
              <w:t>3.</w:t>
            </w:r>
            <w:r>
              <w:rPr>
                <w:rFonts w:hint="eastAsia"/>
                <w:color w:val="auto"/>
                <w:szCs w:val="21"/>
              </w:rPr>
              <w:t>用户意见；</w:t>
            </w:r>
          </w:p>
          <w:p w14:paraId="67755E68">
            <w:pPr>
              <w:pStyle w:val="24"/>
              <w:snapToGrid w:val="0"/>
              <w:spacing w:line="288" w:lineRule="auto"/>
              <w:ind w:firstLine="0" w:firstLineChars="0"/>
              <w:rPr>
                <w:color w:val="auto"/>
                <w:szCs w:val="21"/>
              </w:rPr>
            </w:pPr>
            <w:r>
              <w:rPr>
                <w:rFonts w:hint="eastAsia"/>
                <w:color w:val="auto"/>
                <w:szCs w:val="21"/>
              </w:rPr>
              <w:t>4</w:t>
            </w:r>
            <w:r>
              <w:rPr>
                <w:color w:val="auto"/>
                <w:szCs w:val="21"/>
              </w:rPr>
              <w:t>.</w:t>
            </w:r>
            <w:r>
              <w:rPr>
                <w:rFonts w:hint="eastAsia"/>
                <w:color w:val="auto"/>
                <w:szCs w:val="21"/>
              </w:rPr>
              <w:t>人员、资料、过程安排准备情况；</w:t>
            </w:r>
          </w:p>
          <w:p w14:paraId="0A1C64DA">
            <w:pPr>
              <w:pStyle w:val="24"/>
              <w:snapToGrid w:val="0"/>
              <w:spacing w:line="288" w:lineRule="auto"/>
              <w:ind w:firstLine="0" w:firstLineChars="0"/>
              <w:rPr>
                <w:color w:val="auto"/>
                <w:szCs w:val="21"/>
              </w:rPr>
            </w:pPr>
            <w:r>
              <w:rPr>
                <w:rFonts w:hint="eastAsia"/>
                <w:color w:val="auto"/>
                <w:szCs w:val="21"/>
              </w:rPr>
              <w:t>5</w:t>
            </w:r>
            <w:r>
              <w:rPr>
                <w:color w:val="auto"/>
                <w:szCs w:val="21"/>
              </w:rPr>
              <w:t>.</w:t>
            </w:r>
            <w:r>
              <w:rPr>
                <w:rFonts w:hint="eastAsia"/>
                <w:color w:val="auto"/>
                <w:szCs w:val="21"/>
              </w:rPr>
              <w:t>纸质汇报资料等。</w:t>
            </w:r>
          </w:p>
        </w:tc>
      </w:tr>
    </w:tbl>
    <w:p w14:paraId="66E9DF9F">
      <w:pPr>
        <w:spacing w:line="312" w:lineRule="auto"/>
        <w:rPr>
          <w:rFonts w:hint="default" w:ascii="宋体" w:hAnsi="宋体" w:eastAsia="宋体" w:cs="Arial Unicode MS"/>
          <w:b/>
          <w:color w:val="auto"/>
          <w:kern w:val="1"/>
          <w:sz w:val="28"/>
          <w:szCs w:val="28"/>
          <w:lang w:val="en-US" w:eastAsia="zh-CN"/>
        </w:rPr>
      </w:pPr>
    </w:p>
    <w:p w14:paraId="16027602">
      <w:pPr>
        <w:spacing w:line="312" w:lineRule="auto"/>
        <w:rPr>
          <w:rFonts w:ascii="宋体" w:hAnsi="宋体" w:cs="Arial Unicode MS"/>
          <w:b/>
          <w:color w:val="auto"/>
          <w:kern w:val="1"/>
          <w:sz w:val="28"/>
          <w:szCs w:val="28"/>
        </w:rPr>
      </w:pPr>
    </w:p>
    <w:p w14:paraId="3E6A00B5">
      <w:pPr>
        <w:spacing w:line="312" w:lineRule="auto"/>
        <w:rPr>
          <w:rFonts w:ascii="宋体" w:hAnsi="宋体" w:cs="Arial Unicode MS"/>
          <w:b/>
          <w:color w:val="auto"/>
          <w:kern w:val="1"/>
          <w:sz w:val="28"/>
          <w:szCs w:val="28"/>
        </w:rPr>
      </w:pPr>
    </w:p>
    <w:p w14:paraId="75ED560F">
      <w:pPr>
        <w:spacing w:line="324" w:lineRule="auto"/>
        <w:rPr>
          <w:rFonts w:hint="eastAsia" w:ascii="宋体" w:hAnsi="宋体"/>
          <w:bCs/>
          <w:sz w:val="32"/>
          <w:szCs w:val="32"/>
          <w:lang w:val="en-US" w:eastAsia="zh-CN"/>
        </w:rPr>
      </w:pPr>
    </w:p>
    <w:sectPr>
      <w:headerReference r:id="rId4" w:type="default"/>
      <w:footerReference r:id="rId5" w:type="default"/>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196997-A859-43A9-B546-F22C8615B2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75B7C0-F874-4E9A-9AFD-227B0A339976}"/>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3" w:fontKey="{4BEC71A2-C872-4AEE-B42B-95B6B89D7041}"/>
  </w:font>
  <w:font w:name="仿宋_GB2312">
    <w:panose1 w:val="02010609030101010101"/>
    <w:charset w:val="86"/>
    <w:family w:val="modern"/>
    <w:pitch w:val="default"/>
    <w:sig w:usb0="00000001" w:usb1="080E0000" w:usb2="00000000" w:usb3="00000000" w:csb0="00040000" w:csb1="00000000"/>
    <w:embedRegular r:id="rId4" w:fontKey="{C940867F-D93C-4374-B18C-B6223B6AF840}"/>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PSEMBED3">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C0C8">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9859A"/>
    <w:multiLevelType w:val="singleLevel"/>
    <w:tmpl w:val="491985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1F7C50E5"/>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C467B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7066"/>
    <w:rsid w:val="3FBC5A7F"/>
    <w:rsid w:val="3FC93532"/>
    <w:rsid w:val="40222259"/>
    <w:rsid w:val="403F5505"/>
    <w:rsid w:val="411B22B6"/>
    <w:rsid w:val="41376F5B"/>
    <w:rsid w:val="41526B64"/>
    <w:rsid w:val="416B6CE2"/>
    <w:rsid w:val="41A164BD"/>
    <w:rsid w:val="42260FFE"/>
    <w:rsid w:val="423E406D"/>
    <w:rsid w:val="424D6CD8"/>
    <w:rsid w:val="426367FC"/>
    <w:rsid w:val="42984A4B"/>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B04316E"/>
    <w:rsid w:val="5B2045E3"/>
    <w:rsid w:val="5B2A4FDA"/>
    <w:rsid w:val="5B980D24"/>
    <w:rsid w:val="5BA627FE"/>
    <w:rsid w:val="5BA858A7"/>
    <w:rsid w:val="5BE340D7"/>
    <w:rsid w:val="5CA76815"/>
    <w:rsid w:val="5DCF2BE1"/>
    <w:rsid w:val="5E331DA0"/>
    <w:rsid w:val="5E3C3556"/>
    <w:rsid w:val="5E462973"/>
    <w:rsid w:val="5E6F7098"/>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7B39CF"/>
    <w:rsid w:val="659325EB"/>
    <w:rsid w:val="65ED1348"/>
    <w:rsid w:val="65F8742B"/>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1D01BA"/>
    <w:rsid w:val="70385A59"/>
    <w:rsid w:val="707B59FE"/>
    <w:rsid w:val="71951611"/>
    <w:rsid w:val="730B7318"/>
    <w:rsid w:val="73640B3B"/>
    <w:rsid w:val="74862400"/>
    <w:rsid w:val="74A80B91"/>
    <w:rsid w:val="74E57876"/>
    <w:rsid w:val="753A11C8"/>
    <w:rsid w:val="75B06BD5"/>
    <w:rsid w:val="768F388D"/>
    <w:rsid w:val="76EC074D"/>
    <w:rsid w:val="770C3DA4"/>
    <w:rsid w:val="77250742"/>
    <w:rsid w:val="77870DF7"/>
    <w:rsid w:val="77DC14C2"/>
    <w:rsid w:val="78E551F6"/>
    <w:rsid w:val="78EA6DEC"/>
    <w:rsid w:val="796B38E9"/>
    <w:rsid w:val="7A0E1474"/>
    <w:rsid w:val="7B3B2E58"/>
    <w:rsid w:val="7B6969A9"/>
    <w:rsid w:val="7BD44D67"/>
    <w:rsid w:val="7C101A32"/>
    <w:rsid w:val="7C370081"/>
    <w:rsid w:val="7C4C11F0"/>
    <w:rsid w:val="7E110D76"/>
    <w:rsid w:val="7E5E0D78"/>
    <w:rsid w:val="7EB47BD1"/>
    <w:rsid w:val="7EEF71C5"/>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4374</Words>
  <Characters>4831</Characters>
  <Lines>192</Lines>
  <Paragraphs>54</Paragraphs>
  <TotalTime>378</TotalTime>
  <ScaleCrop>false</ScaleCrop>
  <LinksUpToDate>false</LinksUpToDate>
  <CharactersWithSpaces>4831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广西建筑装饰协会</cp:lastModifiedBy>
  <cp:lastPrinted>2024-03-22T05:00:00Z</cp:lastPrinted>
  <dcterms:modified xsi:type="dcterms:W3CDTF">2026-01-30T11:09:06Z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