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400E4">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2"/>
        <w:rPr>
          <w:rFonts w:hint="eastAsia" w:ascii="黑体" w:hAnsi="黑体" w:eastAsia="黑体" w:cs="黑体"/>
          <w:b/>
          <w:bCs/>
          <w:spacing w:val="-4"/>
          <w:sz w:val="36"/>
          <w:szCs w:val="36"/>
          <w:lang w:val="en-US" w:eastAsia="zh-CN"/>
        </w:rPr>
      </w:pPr>
      <w:bookmarkStart w:id="0" w:name="_Toc26119"/>
      <w:r>
        <w:rPr>
          <w:rFonts w:hint="eastAsia" w:ascii="黑体" w:hAnsi="黑体" w:eastAsia="黑体" w:cs="黑体"/>
          <w:b/>
          <w:bCs/>
          <w:spacing w:val="-4"/>
          <w:sz w:val="36"/>
          <w:szCs w:val="36"/>
        </w:rPr>
        <w:t>附件</w:t>
      </w:r>
      <w:bookmarkEnd w:id="0"/>
      <w:r>
        <w:rPr>
          <w:rFonts w:hint="eastAsia" w:ascii="黑体" w:hAnsi="黑体" w:eastAsia="黑体" w:cs="黑体"/>
          <w:b/>
          <w:bCs/>
          <w:spacing w:val="-4"/>
          <w:sz w:val="36"/>
          <w:szCs w:val="36"/>
          <w:lang w:val="en-US" w:eastAsia="zh-CN"/>
        </w:rPr>
        <w:t>5</w:t>
      </w:r>
    </w:p>
    <w:p w14:paraId="0BDD015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pacing w:val="-4"/>
          <w:sz w:val="36"/>
          <w:szCs w:val="36"/>
        </w:rPr>
      </w:pPr>
      <w:r>
        <w:rPr>
          <w:rFonts w:hint="eastAsia" w:ascii="黑体" w:hAnsi="黑体" w:eastAsia="黑体" w:cs="黑体"/>
          <w:b/>
          <w:bCs/>
          <w:spacing w:val="-4"/>
          <w:sz w:val="36"/>
          <w:szCs w:val="36"/>
          <w:lang w:val="en-US" w:eastAsia="zh-CN"/>
        </w:rPr>
        <w:t>2025年度广西优质建筑装饰工程</w:t>
      </w:r>
      <w:r>
        <w:rPr>
          <w:rFonts w:hint="eastAsia" w:ascii="黑体" w:hAnsi="黑体" w:eastAsia="黑体" w:cs="黑体"/>
          <w:b/>
          <w:bCs/>
          <w:spacing w:val="-4"/>
          <w:sz w:val="36"/>
          <w:szCs w:val="36"/>
        </w:rPr>
        <w:t>复查实施细则</w:t>
      </w:r>
    </w:p>
    <w:p w14:paraId="003E9C0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sz w:val="36"/>
          <w:szCs w:val="36"/>
        </w:rPr>
      </w:pP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公共建筑装饰类</w:t>
      </w: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展陈工程]</w:t>
      </w:r>
    </w:p>
    <w:p w14:paraId="585CAF82">
      <w:pPr>
        <w:snapToGrid w:val="0"/>
        <w:spacing w:line="360" w:lineRule="auto"/>
        <w:jc w:val="center"/>
        <w:rPr>
          <w:rFonts w:eastAsia="黑体"/>
          <w:b/>
          <w:bCs/>
          <w:sz w:val="28"/>
          <w:szCs w:val="28"/>
        </w:rPr>
      </w:pPr>
    </w:p>
    <w:p w14:paraId="62C2877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1" w:name="_Toc27668"/>
      <w:r>
        <w:rPr>
          <w:rFonts w:hint="eastAsia" w:ascii="宋体" w:hAnsi="宋体" w:eastAsia="宋体" w:cs="宋体"/>
          <w:b/>
          <w:bCs w:val="0"/>
          <w:sz w:val="24"/>
          <w:szCs w:val="24"/>
        </w:rPr>
        <w:t>评分标准及要求：</w:t>
      </w:r>
      <w:bookmarkEnd w:id="1"/>
    </w:p>
    <w:p w14:paraId="645B29C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68B97A1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展陈工程：项目合</w:t>
      </w:r>
      <w:r>
        <w:rPr>
          <w:rFonts w:hint="eastAsia" w:ascii="宋体" w:hAnsi="宋体" w:eastAsia="宋体" w:cs="宋体"/>
          <w:color w:val="auto"/>
          <w:sz w:val="24"/>
          <w:szCs w:val="24"/>
        </w:rPr>
        <w:t>同金额或结算金额不低于</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万元人民币（含展品展项及设备）且展陈面积不低于</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w:t>
      </w:r>
      <w:r>
        <w:rPr>
          <w:rFonts w:hint="eastAsia" w:ascii="宋体" w:hAnsi="宋体" w:eastAsia="宋体" w:cs="宋体"/>
          <w:sz w:val="24"/>
          <w:szCs w:val="24"/>
        </w:rPr>
        <w:t>。</w:t>
      </w:r>
    </w:p>
    <w:p w14:paraId="642FDCE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资料、地面、吊顶（设备）、墙柱面、展台展柜展板、图文、数字媒体界面、导览导视系统、展品展项、总体印象、科技创新等几方面需要关注的质量通病和涉及安全与使用方面的问题，结合复查对查出的问题进行评分。项目复查总分为100分</w:t>
      </w:r>
      <w:r>
        <w:rPr>
          <w:rFonts w:hint="eastAsia" w:ascii="宋体" w:hAnsi="宋体" w:eastAsia="宋体" w:cs="宋体"/>
          <w:sz w:val="24"/>
          <w:szCs w:val="24"/>
          <w:lang w:eastAsia="zh-CN"/>
        </w:rPr>
        <w:t>，</w:t>
      </w:r>
      <w:r>
        <w:rPr>
          <w:rFonts w:hint="eastAsia" w:ascii="宋体" w:hAnsi="宋体" w:eastAsia="宋体" w:cs="宋体"/>
          <w:sz w:val="24"/>
          <w:szCs w:val="24"/>
        </w:rPr>
        <w:t>详细分项和评分标准见《工程复查实施细则——公共建筑装饰类（展陈工程）》。</w:t>
      </w:r>
    </w:p>
    <w:p w14:paraId="24F9E51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中所列均为项目复查的必查和主查内容，各复查小组可根据项目实际情况做必要的补充和调整，但必查内容不可取消。</w:t>
      </w:r>
    </w:p>
    <w:p w14:paraId="0AB0588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复查评分严格按照各项要求及评分标准进行复查评分，并将各大项评分记录在申报表工程复查表中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p>
    <w:p w14:paraId="2ACF9C9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申报单位需重视对工程安全隐患的排查及相关必要文件的准备，要求申报单位在申报前对如下方面进行自查，使其符合相应的国家强制性规范和标准以及复查的要求。</w:t>
      </w:r>
    </w:p>
    <w:p w14:paraId="4FD6E70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重点部位及资料：</w:t>
      </w:r>
    </w:p>
    <w:p w14:paraId="2034041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1.改动建筑主体、承重结构、增加结构荷载；</w:t>
      </w:r>
    </w:p>
    <w:p w14:paraId="6C70AB4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2.室内石材吊顶、过顶石材及其它重型吊顶；</w:t>
      </w:r>
    </w:p>
    <w:p w14:paraId="4D601F3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3.钢结构转换层（如顶部有空间网架或钢屋架等）与网架、吊顶连接；</w:t>
      </w:r>
    </w:p>
    <w:p w14:paraId="747C3B1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4.大型吊灯、吊挂物（10kg及以上）安装的过载试验和相关隐蔽资料、墙面背景灯、潮湿有水部位的灯具安装；</w:t>
      </w:r>
    </w:p>
    <w:p w14:paraId="7A4EA00E">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5.安全玻璃：屋面、吊顶、墙面、地面等玻璃制品；</w:t>
      </w:r>
    </w:p>
    <w:p w14:paraId="6FB1FF2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6.室内墙柱面石材、瓷砖或其它重型饰面材料干挂、挂贴；</w:t>
      </w:r>
    </w:p>
    <w:p w14:paraId="534DD83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7.较大、较重的活动隔断安装；</w:t>
      </w:r>
    </w:p>
    <w:p w14:paraId="7BE3477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8.楼梯扶手及栏杆、栏板；</w:t>
      </w:r>
    </w:p>
    <w:p w14:paraId="76B50C4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9.变形缝及其构造；</w:t>
      </w:r>
    </w:p>
    <w:p w14:paraId="11921C2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10.顶棚、墙面、地面等部位的装饰材料是否符合防火要求；</w:t>
      </w:r>
    </w:p>
    <w:p w14:paraId="08597F2C">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11.开关、插座的接线及防火隔热措施；天花吊顶内的接线。</w:t>
      </w:r>
    </w:p>
    <w:p w14:paraId="0A7C25B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12.展台展柜展板的制作安装；</w:t>
      </w:r>
    </w:p>
    <w:p w14:paraId="5D40FD9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13.展品展项、导览导视系统；</w:t>
      </w:r>
    </w:p>
    <w:p w14:paraId="3F410F4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申报项目必要资料是否真实及齐全，特别是开竣工日期、施工许可证、消防验收、各种材料复试报告、各项试验报告（螺栓拉拔、灯具过载试验、护栏结构的锚固等）、室内环境污染物检测报告；竣工图纸签字盖章是否齐全、重点节点图是否齐全。</w:t>
      </w:r>
    </w:p>
    <w:p w14:paraId="13AF4CE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以上所列均为工程复查的必查和主查内容，各复查小组可根据工程实际情况，作必要的补充和调整，但必查项目不可取消。</w:t>
      </w:r>
    </w:p>
    <w:p w14:paraId="3C9D499F">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2" w:name="_Toc2204"/>
      <w:r>
        <w:rPr>
          <w:rFonts w:hint="eastAsia" w:ascii="宋体" w:hAnsi="宋体" w:eastAsia="宋体" w:cs="宋体"/>
          <w:b/>
          <w:bCs w:val="0"/>
          <w:sz w:val="24"/>
          <w:szCs w:val="24"/>
        </w:rPr>
        <w:t>主要执行规范和标准：</w:t>
      </w:r>
      <w:bookmarkEnd w:id="2"/>
    </w:p>
    <w:p w14:paraId="7C9A683F">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1.《建筑工程施工质量验收统一标准》GB50300-2013</w:t>
      </w:r>
    </w:p>
    <w:p w14:paraId="4EABAC40">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2.《建筑地面工程施工质量验收规范》GB50209-2010</w:t>
      </w:r>
    </w:p>
    <w:p w14:paraId="598614EB">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3.《建筑装饰装修工程质量验收标准》GB50210-2018</w:t>
      </w:r>
    </w:p>
    <w:p w14:paraId="678313E9">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4.《建筑内部装修防火施工及验收规范》GB50354-2005</w:t>
      </w:r>
    </w:p>
    <w:p w14:paraId="1A756FE4">
      <w:pPr>
        <w:pStyle w:val="2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3" w:name="_Toc12267"/>
      <w:r>
        <w:rPr>
          <w:rFonts w:hint="eastAsia" w:ascii="宋体" w:hAnsi="宋体" w:eastAsia="宋体" w:cs="宋体"/>
          <w:sz w:val="24"/>
          <w:szCs w:val="24"/>
        </w:rPr>
        <w:t>5．《建筑节能工程施工质量验收标准》GB50411-2019</w:t>
      </w:r>
      <w:bookmarkEnd w:id="3"/>
    </w:p>
    <w:p w14:paraId="28917CD8">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6．《民用建筑工程室内环境污染控制标准》GB50325-2020</w:t>
      </w:r>
    </w:p>
    <w:p w14:paraId="5511B6C3">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7.《建筑环境通用规范》GB55016-2021（2022年4月1日起实施）</w:t>
      </w:r>
    </w:p>
    <w:p w14:paraId="7849218C">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8.《建筑节能与可再生能源利用通用规范》GB55015-2021（2022年4月1日起实施）</w:t>
      </w:r>
    </w:p>
    <w:p w14:paraId="028CF5A3">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9.《建筑给水排水与节水通用规范》GB55020-2021（2022年4月1日起实施）</w:t>
      </w:r>
    </w:p>
    <w:p w14:paraId="07265462">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10．《砌体结构通用规范》GB55007-2021（2022年1月1日起实施）</w:t>
      </w:r>
    </w:p>
    <w:p w14:paraId="51F89D28">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11．《木结构通用规范》GB55005-2021（2022年1月1日起实施）</w:t>
      </w:r>
    </w:p>
    <w:p w14:paraId="3CF954F4">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12．《建筑给水排水及采暖工程施工质量验收规范》GB50242-2002</w:t>
      </w:r>
    </w:p>
    <w:p w14:paraId="667D23F4">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13．《建筑电气照明装置施工与验收规范》GB50617-2010</w:t>
      </w:r>
    </w:p>
    <w:p w14:paraId="483DF669">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14．《建筑电气工程施工质量验收规范》GB50303-2015</w:t>
      </w:r>
    </w:p>
    <w:p w14:paraId="2FF20A85">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15.《通风与空调工程施工质量验收规范》GB50243-2016</w:t>
      </w:r>
    </w:p>
    <w:p w14:paraId="33B7BAFA">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16.《建筑防火封堵应用技术标准》GB/T51410—2020</w:t>
      </w:r>
    </w:p>
    <w:p w14:paraId="50032D8C">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17.《建设工程文件归档规范》GB/T50328-2014(2019版)</w:t>
      </w:r>
    </w:p>
    <w:p w14:paraId="2CB044A0">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18.《网络工程验收标准》GB/T51365-2019</w:t>
      </w:r>
    </w:p>
    <w:p w14:paraId="03153DE0">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19.《公共建筑吊顶工程技术规程》JGJ345-2014</w:t>
      </w:r>
    </w:p>
    <w:p w14:paraId="1950A0BB">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20.《建筑玻璃应用技术规程》JGJ113-2015</w:t>
      </w:r>
    </w:p>
    <w:p w14:paraId="34FDB27A">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21．《金属与石材幕墙工程技术规范》JGJ133-2001</w:t>
      </w:r>
    </w:p>
    <w:p w14:paraId="7DA6524E">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22．《玻璃幕墙工程技术规范》JGJ102-2003</w:t>
      </w:r>
    </w:p>
    <w:p w14:paraId="44D83EBB">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23．《采光顶与金属屋面技术规程》JGJ255-2012</w:t>
      </w:r>
    </w:p>
    <w:p w14:paraId="3881AF15">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24．《混凝土结构后锚固技术规程》JGJ145-2013</w:t>
      </w:r>
    </w:p>
    <w:p w14:paraId="7B459A4F">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25．《装配式内装修技术标准》JGJ/T491-2021（2021年10月1日起实施）</w:t>
      </w:r>
    </w:p>
    <w:p w14:paraId="65D2EE17">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26.《民用建筑设计统一标准》GB50352-2019</w:t>
      </w:r>
    </w:p>
    <w:p w14:paraId="6282186D">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27．《建筑内部装修设计防火规范》GB50222-2017</w:t>
      </w:r>
    </w:p>
    <w:p w14:paraId="5BFBECCC">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28．《建筑设计防火规范》GB50016-2014（2018年版）</w:t>
      </w:r>
    </w:p>
    <w:p w14:paraId="2BA150CD">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29.《公共建筑室内空气质量控制设计标准》JGJ/T461-2019</w:t>
      </w:r>
    </w:p>
    <w:p w14:paraId="7FAEB5FD">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30.《民用建筑隔声设计规范》GB50118-2010</w:t>
      </w:r>
    </w:p>
    <w:p w14:paraId="46CDFD04">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31．《无障碍设计规范》GB50763-2012</w:t>
      </w:r>
    </w:p>
    <w:p w14:paraId="7C313BA8">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32.《建筑照明设计标准》GB50034-2013</w:t>
      </w:r>
    </w:p>
    <w:p w14:paraId="1F7B5212">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33．《数据中心设计规范》GB50174-2017</w:t>
      </w:r>
    </w:p>
    <w:p w14:paraId="7C975F77">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34．《民用建筑电气设计标准》GB51348-2019</w:t>
      </w:r>
    </w:p>
    <w:p w14:paraId="4242AFFD">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35．《建筑给水排水设计标准》GB50015-2019</w:t>
      </w:r>
    </w:p>
    <w:p w14:paraId="30215369">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36．《文化馆建筑设计规范》JGJ/T41-2014</w:t>
      </w:r>
    </w:p>
    <w:p w14:paraId="54C96D35">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37．《博物馆建筑设计规范》JGJ66-2015</w:t>
      </w:r>
    </w:p>
    <w:p w14:paraId="3F3A77B8">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38．《饮食建筑设计标准》JGJ64-2017</w:t>
      </w:r>
    </w:p>
    <w:p w14:paraId="01507A9E">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39.《建筑门窗工程检测技术规程》JGJ/T205-2010</w:t>
      </w:r>
    </w:p>
    <w:p w14:paraId="75366D84">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40．《古建筑修建工程施工及验收规范》JGJ159-2008</w:t>
      </w:r>
    </w:p>
    <w:p w14:paraId="63B0381A">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41．《历史建筑数字化技术标准》JGJ/T489-2021（2021年10月1日起实施）</w:t>
      </w:r>
    </w:p>
    <w:p w14:paraId="085A1AAF">
      <w:pPr>
        <w:pStyle w:val="2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4" w:name="_Toc26743"/>
      <w:r>
        <w:rPr>
          <w:rFonts w:hint="eastAsia" w:ascii="宋体" w:hAnsi="宋体" w:eastAsia="宋体" w:cs="宋体"/>
          <w:sz w:val="24"/>
          <w:szCs w:val="24"/>
        </w:rPr>
        <w:t>42．《建筑防护栏杆技术标准》JGJ/T470-2019</w:t>
      </w:r>
      <w:bookmarkEnd w:id="4"/>
    </w:p>
    <w:p w14:paraId="054B722F">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43．《装配式整体厨房应用技术标准》JGJ/T477-2018</w:t>
      </w:r>
    </w:p>
    <w:p w14:paraId="0DAF4C97">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44．《装配式整体卫生间应用技术标准》JGJ/T467-2018</w:t>
      </w:r>
    </w:p>
    <w:p w14:paraId="046697D1">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45．《预拌砂浆应用技术规程》JGJ/T223-2010</w:t>
      </w:r>
    </w:p>
    <w:p w14:paraId="7C227D7D">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46．《饰面石材用胶粘剂》GB/T24264-2009</w:t>
      </w:r>
    </w:p>
    <w:p w14:paraId="2F4D02FB">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47．《干挂石材用金属挂件》GB/T32839-2016</w:t>
      </w:r>
    </w:p>
    <w:p w14:paraId="22C49BF5">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48.《消火栓箱》GB/T14561-2019</w:t>
      </w:r>
    </w:p>
    <w:p w14:paraId="620B6C90">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49．《展览陈列工程技术规程》T/CBDA40-2020</w:t>
      </w:r>
    </w:p>
    <w:p w14:paraId="79EA9D8F">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50．《建筑装饰装修工程BIM实施标准》T/CBDA3-2016</w:t>
      </w:r>
    </w:p>
    <w:p w14:paraId="30956477">
      <w:pPr>
        <w:pStyle w:val="2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5" w:name="_Toc984"/>
      <w:r>
        <w:rPr>
          <w:rFonts w:hint="eastAsia" w:ascii="宋体" w:hAnsi="宋体" w:eastAsia="宋体" w:cs="宋体"/>
          <w:sz w:val="24"/>
          <w:szCs w:val="24"/>
        </w:rPr>
        <w:t>51.《建筑装饰装修工程木质部品》T/CBDA4-2016</w:t>
      </w:r>
      <w:bookmarkEnd w:id="5"/>
    </w:p>
    <w:p w14:paraId="648ABCC6">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52.《室内装饰装修乳胶漆施工技术规程》T/CBDA22-2018</w:t>
      </w:r>
    </w:p>
    <w:p w14:paraId="36D2C214">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"http://www.cbda.cn/html/cbdacb/20181030/123809.html" </w:instrText>
      </w:r>
      <w:r>
        <w:rPr>
          <w:rFonts w:hint="eastAsia" w:ascii="宋体" w:hAnsi="宋体" w:eastAsia="宋体" w:cs="宋体"/>
          <w:sz w:val="24"/>
          <w:szCs w:val="24"/>
        </w:rPr>
        <w:fldChar w:fldCharType="separate"/>
      </w:r>
      <w:r>
        <w:rPr>
          <w:rFonts w:hint="eastAsia" w:ascii="宋体" w:hAnsi="宋体" w:eastAsia="宋体" w:cs="宋体"/>
          <w:sz w:val="24"/>
          <w:szCs w:val="24"/>
        </w:rPr>
        <w:t>建筑装饰装修室内吊顶支撑系统技术规程</w:t>
      </w:r>
      <w:r>
        <w:rPr>
          <w:rFonts w:hint="eastAsia" w:ascii="宋体" w:hAnsi="宋体" w:eastAsia="宋体" w:cs="宋体"/>
          <w:sz w:val="24"/>
          <w:szCs w:val="24"/>
        </w:rPr>
        <w:fldChar w:fldCharType="end"/>
      </w:r>
      <w:r>
        <w:rPr>
          <w:rFonts w:hint="eastAsia" w:ascii="宋体" w:hAnsi="宋体" w:eastAsia="宋体" w:cs="宋体"/>
          <w:sz w:val="24"/>
          <w:szCs w:val="24"/>
        </w:rPr>
        <w:t>》T/CBDA18-2018</w:t>
      </w:r>
    </w:p>
    <w:p w14:paraId="48CC1B9E">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54．《建筑装饰装修机电末端综合布置技术规程》T/CBDA27-2019</w:t>
      </w:r>
    </w:p>
    <w:p w14:paraId="33AE96A4">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55.《建筑室内安全玻璃工程技术规程》T/CBDA28-2019</w:t>
      </w:r>
    </w:p>
    <w:p w14:paraId="08F06453">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56．《建筑装饰装修工程施工组织设计标准》T/CBDA35-2019</w:t>
      </w:r>
    </w:p>
    <w:p w14:paraId="266295D4">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57．《建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"http://www.cbda.cn/html/tzgg/20190220/125449.html"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筑幕墙工程设计文件编制标准</w:t>
      </w:r>
      <w:r>
        <w:rPr>
          <w:rFonts w:hint="eastAsia" w:ascii="宋体" w:hAnsi="宋体" w:eastAsia="宋体" w:cs="宋体"/>
          <w:sz w:val="24"/>
          <w:szCs w:val="24"/>
        </w:rPr>
        <w:fldChar w:fldCharType="end"/>
      </w:r>
      <w:r>
        <w:rPr>
          <w:rFonts w:hint="eastAsia" w:ascii="宋体" w:hAnsi="宋体" w:eastAsia="宋体" w:cs="宋体"/>
          <w:sz w:val="24"/>
          <w:szCs w:val="24"/>
        </w:rPr>
        <w:t>》T/CBDA26-2019</w:t>
      </w:r>
    </w:p>
    <w:p w14:paraId="078350AE">
      <w:pPr>
        <w:pStyle w:val="2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6" w:name="_Toc12634"/>
      <w:r>
        <w:rPr>
          <w:rFonts w:hint="eastAsia" w:ascii="宋体" w:hAnsi="宋体" w:eastAsia="宋体" w:cs="宋体"/>
          <w:sz w:val="24"/>
          <w:szCs w:val="24"/>
        </w:rPr>
        <w:t>58．《建筑室内装饰装修制图标准》T/CBDA47-2021</w:t>
      </w:r>
      <w:bookmarkEnd w:id="6"/>
    </w:p>
    <w:p w14:paraId="78760B18">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59.《建筑装饰装修室内空间照明设计应用标准》T/CBDA49-2021</w:t>
      </w:r>
    </w:p>
    <w:p w14:paraId="7118984F">
      <w:pPr>
        <w:pStyle w:val="24"/>
        <w:keepNext w:val="0"/>
        <w:keepLines w:val="0"/>
        <w:pageBreakBefore w:val="0"/>
        <w:widowControl w:val="0"/>
        <w:kinsoku/>
        <w:wordWrap/>
        <w:overflowPunct/>
        <w:topLinePunct w:val="0"/>
        <w:autoSpaceDE/>
        <w:autoSpaceDN/>
        <w:bidi w:val="0"/>
        <w:spacing w:line="336" w:lineRule="auto"/>
        <w:ind w:firstLine="480"/>
        <w:textAlignment w:val="auto"/>
        <w:outlineLvl w:val="2"/>
        <w:rPr>
          <w:rFonts w:hint="eastAsia" w:ascii="宋体" w:hAnsi="宋体" w:eastAsia="宋体" w:cs="宋体"/>
          <w:sz w:val="24"/>
          <w:szCs w:val="24"/>
        </w:rPr>
      </w:pPr>
      <w:bookmarkStart w:id="7" w:name="_Toc32215"/>
      <w:r>
        <w:rPr>
          <w:rFonts w:hint="eastAsia" w:ascii="宋体" w:hAnsi="宋体" w:eastAsia="宋体" w:cs="宋体"/>
          <w:sz w:val="24"/>
          <w:szCs w:val="24"/>
        </w:rPr>
        <w:t>60.《建筑防火通用规范》GB55037-2022</w:t>
      </w:r>
      <w:bookmarkEnd w:id="7"/>
    </w:p>
    <w:p w14:paraId="0D3F0FDC">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说明：上文未列标准、规范以国家、行业、团体现行标准、规范为准。</w:t>
      </w:r>
    </w:p>
    <w:p w14:paraId="04737AFD">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pPr>
    </w:p>
    <w:p w14:paraId="436577CA">
      <w:pPr>
        <w:pStyle w:val="24"/>
        <w:keepNext w:val="0"/>
        <w:keepLines w:val="0"/>
        <w:pageBreakBefore w:val="0"/>
        <w:widowControl w:val="0"/>
        <w:kinsoku/>
        <w:wordWrap/>
        <w:overflowPunct/>
        <w:topLinePunct w:val="0"/>
        <w:autoSpaceDE/>
        <w:autoSpaceDN/>
        <w:bidi w:val="0"/>
        <w:spacing w:line="336" w:lineRule="auto"/>
        <w:ind w:firstLine="480"/>
        <w:textAlignment w:val="auto"/>
        <w:rPr>
          <w:rFonts w:hint="eastAsia" w:ascii="宋体" w:hAnsi="宋体" w:eastAsia="宋体" w:cs="宋体"/>
          <w:sz w:val="24"/>
          <w:szCs w:val="24"/>
        </w:rPr>
        <w:sectPr>
          <w:footerReference r:id="rId3" w:type="default"/>
          <w:pgSz w:w="11906" w:h="16838"/>
          <w:pgMar w:top="1440" w:right="1247" w:bottom="1440" w:left="1587" w:header="850" w:footer="992" w:gutter="0"/>
          <w:pgNumType w:fmt="numberInDash"/>
          <w:cols w:space="0" w:num="1"/>
          <w:rtlGutter w:val="0"/>
          <w:docGrid w:type="lines" w:linePitch="312" w:charSpace="0"/>
        </w:sectPr>
      </w:pPr>
    </w:p>
    <w:p w14:paraId="2112FCC1">
      <w:pPr>
        <w:jc w:val="center"/>
        <w:outlineLvl w:val="1"/>
        <w:rPr>
          <w:rFonts w:ascii="宋体" w:hAnsi="宋体"/>
          <w:bCs/>
          <w:sz w:val="10"/>
          <w:szCs w:val="10"/>
        </w:rPr>
      </w:pPr>
      <w:bookmarkStart w:id="8" w:name="_Toc23941"/>
      <w:r>
        <w:rPr>
          <w:rFonts w:hint="eastAsia" w:ascii="黑体" w:hAnsi="黑体" w:eastAsia="黑体"/>
          <w:sz w:val="30"/>
          <w:szCs w:val="30"/>
        </w:rPr>
        <w:t>三、工程复查实施细则</w:t>
      </w:r>
      <w:r>
        <w:rPr>
          <w:rFonts w:hint="eastAsia" w:ascii="宋体" w:hAnsi="宋体"/>
          <w:bCs/>
          <w:sz w:val="30"/>
          <w:szCs w:val="30"/>
        </w:rPr>
        <w:t>——公共建筑装饰类（展陈工程）</w:t>
      </w:r>
      <w:bookmarkEnd w:id="8"/>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646D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0A8ACE8B">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F96DFD7">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1470692">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8D1C8C7">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0545D1">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70D9F7E">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34CC54">
            <w:pPr>
              <w:snapToGrid w:val="0"/>
              <w:spacing w:line="288" w:lineRule="auto"/>
              <w:jc w:val="center"/>
              <w:rPr>
                <w:b/>
                <w:bCs/>
                <w:sz w:val="24"/>
              </w:rPr>
            </w:pPr>
            <w:r>
              <w:rPr>
                <w:rFonts w:hint="eastAsia"/>
                <w:b/>
                <w:bCs/>
                <w:sz w:val="24"/>
              </w:rPr>
              <w:t>复查方法</w:t>
            </w:r>
          </w:p>
        </w:tc>
      </w:tr>
      <w:tr w14:paraId="0AD2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567" w:type="dxa"/>
            <w:vMerge w:val="restart"/>
            <w:tcBorders>
              <w:top w:val="single" w:color="auto" w:sz="4" w:space="0"/>
              <w:left w:val="single" w:color="auto" w:sz="4" w:space="0"/>
              <w:right w:val="single" w:color="auto" w:sz="4" w:space="0"/>
            </w:tcBorders>
            <w:noWrap w:val="0"/>
            <w:vAlign w:val="center"/>
          </w:tcPr>
          <w:p w14:paraId="40DA6A54">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39AA6CC9">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468D388">
            <w:pPr>
              <w:snapToGrid w:val="0"/>
              <w:spacing w:line="276" w:lineRule="auto"/>
              <w:rPr>
                <w:rFonts w:ascii="黑体" w:hAnsi="黑体" w:eastAsia="黑体"/>
                <w:szCs w:val="21"/>
              </w:rPr>
            </w:pPr>
            <w:r>
              <w:rPr>
                <w:rFonts w:hint="eastAsia" w:ascii="黑体" w:hAnsi="黑体" w:eastAsia="黑体"/>
                <w:szCs w:val="21"/>
              </w:rPr>
              <w:t>必要文件：</w:t>
            </w:r>
          </w:p>
          <w:p w14:paraId="19E8909B">
            <w:pPr>
              <w:snapToGrid w:val="0"/>
              <w:spacing w:line="276" w:lineRule="auto"/>
              <w:rPr>
                <w:rFonts w:ascii="宋体" w:hAnsi="宋体"/>
                <w:szCs w:val="21"/>
              </w:rPr>
            </w:pPr>
            <w:r>
              <w:rPr>
                <w:rFonts w:hint="eastAsia" w:ascii="宋体" w:hAnsi="宋体"/>
                <w:szCs w:val="21"/>
              </w:rPr>
              <w:t>1.企业法人营业证照、资质等级证书、安全生产许可证（此三项上一年度参评企业可提供加盖本单位公章的复印件）；</w:t>
            </w:r>
          </w:p>
          <w:p w14:paraId="63DD734F">
            <w:pPr>
              <w:pStyle w:val="24"/>
              <w:snapToGrid w:val="0"/>
              <w:spacing w:line="276" w:lineRule="auto"/>
              <w:ind w:left="33" w:firstLine="0" w:firstLineChars="0"/>
              <w:rPr>
                <w:rFonts w:ascii="宋体" w:hAnsi="宋体"/>
                <w:szCs w:val="21"/>
              </w:rPr>
            </w:pPr>
            <w:r>
              <w:rPr>
                <w:rFonts w:hint="eastAsia" w:ascii="宋体" w:hAnsi="宋体"/>
                <w:szCs w:val="21"/>
              </w:rPr>
              <w:t>2.项目经理注册建造师证书、安全生产考核合格证；</w:t>
            </w:r>
          </w:p>
          <w:p w14:paraId="6CA4323D">
            <w:pPr>
              <w:pStyle w:val="24"/>
              <w:snapToGrid w:val="0"/>
              <w:spacing w:line="276" w:lineRule="auto"/>
              <w:ind w:firstLine="0" w:firstLineChars="0"/>
            </w:pPr>
            <w:r>
              <w:rPr>
                <w:rFonts w:ascii="宋体" w:hAnsi="宋体"/>
                <w:szCs w:val="21"/>
              </w:rPr>
              <w:t>3.</w:t>
            </w:r>
            <w:r>
              <w:rPr>
                <w:rFonts w:hint="eastAsia" w:ascii="宋体" w:hAnsi="宋体"/>
                <w:szCs w:val="21"/>
              </w:rPr>
              <w:t>项目承包合同；</w:t>
            </w:r>
          </w:p>
          <w:p w14:paraId="086E3B75">
            <w:pPr>
              <w:pStyle w:val="24"/>
              <w:snapToGrid w:val="0"/>
              <w:spacing w:line="276" w:lineRule="auto"/>
              <w:ind w:left="33" w:firstLine="0" w:firstLineChars="0"/>
            </w:pPr>
            <w:r>
              <w:rPr>
                <w:rFonts w:hint="eastAsia" w:ascii="宋体" w:hAnsi="宋体"/>
                <w:szCs w:val="21"/>
              </w:rPr>
              <w:t>4.施工许可相关证明文件</w:t>
            </w:r>
            <w:r>
              <w:rPr>
                <w:rFonts w:hint="eastAsia"/>
              </w:rPr>
              <w:t>（或政府批复项目的有关证明）</w:t>
            </w:r>
            <w:r>
              <w:rPr>
                <w:rFonts w:hint="eastAsia" w:ascii="宋体" w:hAnsi="宋体"/>
                <w:szCs w:val="21"/>
              </w:rPr>
              <w:t>；</w:t>
            </w:r>
          </w:p>
          <w:p w14:paraId="683163E3">
            <w:pPr>
              <w:snapToGrid w:val="0"/>
              <w:spacing w:line="276" w:lineRule="auto"/>
              <w:rPr>
                <w:rFonts w:ascii="宋体" w:hAnsi="宋体"/>
                <w:szCs w:val="21"/>
              </w:rPr>
            </w:pPr>
            <w:r>
              <w:rPr>
                <w:rFonts w:hint="eastAsia" w:ascii="宋体" w:hAnsi="宋体"/>
                <w:szCs w:val="21"/>
              </w:rPr>
              <w:t>5.项目竣工验收证明文件（相关责任主体签章必须齐全）；</w:t>
            </w:r>
          </w:p>
          <w:p w14:paraId="5F645258">
            <w:pPr>
              <w:snapToGrid w:val="0"/>
              <w:spacing w:line="276" w:lineRule="auto"/>
              <w:rPr>
                <w:rFonts w:ascii="宋体" w:hAnsi="宋体"/>
                <w:szCs w:val="21"/>
              </w:rPr>
            </w:pPr>
            <w:r>
              <w:rPr>
                <w:rFonts w:hint="eastAsia" w:ascii="宋体" w:hAnsi="宋体"/>
                <w:szCs w:val="21"/>
              </w:rPr>
              <w:t>6.消防验收合格证明或消防竣工备案证明；</w:t>
            </w:r>
          </w:p>
          <w:p w14:paraId="0928027D">
            <w:pPr>
              <w:snapToGrid w:val="0"/>
              <w:spacing w:line="276" w:lineRule="auto"/>
              <w:rPr>
                <w:rFonts w:ascii="宋体" w:hAnsi="宋体"/>
                <w:szCs w:val="21"/>
              </w:rPr>
            </w:pPr>
            <w:r>
              <w:rPr>
                <w:rFonts w:hint="eastAsia" w:ascii="宋体" w:hAnsi="宋体"/>
                <w:szCs w:val="21"/>
              </w:rPr>
              <w:t>7.室内环境质量检测报告，需由具备相应资质的检测机构出具；</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6DB5C83">
            <w:pPr>
              <w:snapToGrid w:val="0"/>
              <w:spacing w:line="288" w:lineRule="auto"/>
              <w:jc w:val="left"/>
              <w:rPr>
                <w:rFonts w:ascii="宋体" w:hAnsi="宋体"/>
                <w:szCs w:val="21"/>
              </w:rPr>
            </w:pPr>
            <w:r>
              <w:rPr>
                <w:rFonts w:hint="eastAsia" w:ascii="宋体" w:hAnsi="宋体"/>
                <w:szCs w:val="21"/>
              </w:rPr>
              <w:t>必要文件有一项不合格或不符合要求者不予评审。</w:t>
            </w:r>
          </w:p>
        </w:tc>
        <w:tc>
          <w:tcPr>
            <w:tcW w:w="1701" w:type="dxa"/>
            <w:tcBorders>
              <w:top w:val="single" w:color="auto" w:sz="4" w:space="0"/>
              <w:left w:val="single" w:color="auto" w:sz="4" w:space="0"/>
              <w:right w:val="single" w:color="auto" w:sz="4" w:space="0"/>
            </w:tcBorders>
            <w:noWrap w:val="0"/>
            <w:vAlign w:val="center"/>
          </w:tcPr>
          <w:p w14:paraId="39A64D02">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vMerge w:val="restart"/>
            <w:tcBorders>
              <w:top w:val="single" w:color="auto" w:sz="4" w:space="0"/>
              <w:left w:val="single" w:color="auto" w:sz="4" w:space="0"/>
              <w:right w:val="single" w:color="auto" w:sz="4" w:space="0"/>
            </w:tcBorders>
            <w:noWrap w:val="0"/>
            <w:vAlign w:val="center"/>
          </w:tcPr>
          <w:p w14:paraId="7E439C1E">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14:paraId="788EC097">
            <w:pPr>
              <w:snapToGrid w:val="0"/>
              <w:spacing w:line="276" w:lineRule="auto"/>
              <w:rPr>
                <w:rFonts w:ascii="宋体" w:hAnsi="宋体"/>
                <w:szCs w:val="21"/>
              </w:rPr>
            </w:pPr>
            <w:r>
              <w:rPr>
                <w:rFonts w:hint="eastAsia" w:ascii="宋体" w:hAnsi="宋体"/>
                <w:szCs w:val="21"/>
              </w:rPr>
              <w:t>查：相关文件资料原件或电子证件（提供网查链接）；</w:t>
            </w:r>
          </w:p>
          <w:p w14:paraId="36FA32DD">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565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7702AAAF">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38BBDA46">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53351C62">
            <w:pPr>
              <w:snapToGrid w:val="0"/>
              <w:spacing w:line="360" w:lineRule="auto"/>
              <w:rPr>
                <w:rFonts w:ascii="黑体" w:hAnsi="黑体" w:eastAsia="黑体"/>
                <w:spacing w:val="-4"/>
                <w:szCs w:val="21"/>
              </w:rPr>
            </w:pPr>
            <w:r>
              <w:rPr>
                <w:rFonts w:hint="eastAsia" w:ascii="黑体" w:hAnsi="黑体" w:eastAsia="黑体"/>
                <w:szCs w:val="21"/>
              </w:rPr>
              <w:t>工程资料：</w:t>
            </w:r>
          </w:p>
          <w:p w14:paraId="07E56079">
            <w:pPr>
              <w:pStyle w:val="24"/>
              <w:snapToGrid w:val="0"/>
              <w:spacing w:line="360" w:lineRule="auto"/>
              <w:ind w:firstLine="0" w:firstLineChars="0"/>
              <w:rPr>
                <w:rFonts w:ascii="宋体" w:hAnsi="宋体"/>
                <w:spacing w:val="-4"/>
                <w:szCs w:val="21"/>
              </w:rPr>
            </w:pPr>
            <w:r>
              <w:rPr>
                <w:rFonts w:hint="eastAsia" w:ascii="宋体" w:hAnsi="宋体"/>
                <w:spacing w:val="-4"/>
                <w:szCs w:val="21"/>
              </w:rPr>
              <w:t>1.装饰装修部分按照公共建筑装饰类（公共建筑装饰工程）执行；</w:t>
            </w:r>
          </w:p>
          <w:p w14:paraId="1356661A">
            <w:pPr>
              <w:snapToGrid w:val="0"/>
              <w:spacing w:line="360" w:lineRule="auto"/>
              <w:rPr>
                <w:rFonts w:ascii="宋体" w:hAnsi="宋体"/>
                <w:spacing w:val="-4"/>
                <w:szCs w:val="21"/>
              </w:rPr>
            </w:pPr>
            <w:r>
              <w:rPr>
                <w:rFonts w:hint="eastAsia" w:ascii="宋体" w:hAnsi="宋体"/>
                <w:spacing w:val="-4"/>
                <w:szCs w:val="21"/>
              </w:rPr>
              <w:t>2</w:t>
            </w:r>
            <w:r>
              <w:rPr>
                <w:rFonts w:ascii="宋体" w:hAnsi="宋体"/>
                <w:spacing w:val="-4"/>
                <w:szCs w:val="21"/>
              </w:rPr>
              <w:t>.</w:t>
            </w:r>
            <w:r>
              <w:rPr>
                <w:rFonts w:hint="eastAsia" w:ascii="宋体" w:hAnsi="宋体"/>
                <w:spacing w:val="-4"/>
                <w:szCs w:val="21"/>
              </w:rPr>
              <w:t>文本资料(展陈大纲等），（无文本资料或内容问题较大扣1</w:t>
            </w:r>
            <w:r>
              <w:rPr>
                <w:rFonts w:ascii="宋体" w:hAnsi="宋体"/>
                <w:spacing w:val="-4"/>
                <w:szCs w:val="21"/>
              </w:rPr>
              <w:t>0</w:t>
            </w:r>
            <w:r>
              <w:rPr>
                <w:rFonts w:hint="eastAsia" w:ascii="宋体" w:hAnsi="宋体"/>
                <w:spacing w:val="-4"/>
                <w:szCs w:val="21"/>
              </w:rPr>
              <w:t>-1</w:t>
            </w:r>
            <w:r>
              <w:rPr>
                <w:rFonts w:ascii="宋体" w:hAnsi="宋体"/>
                <w:spacing w:val="-4"/>
                <w:szCs w:val="21"/>
              </w:rPr>
              <w:t>5</w:t>
            </w:r>
            <w:r>
              <w:rPr>
                <w:rFonts w:hint="eastAsia" w:ascii="宋体" w:hAnsi="宋体"/>
                <w:spacing w:val="-4"/>
                <w:szCs w:val="21"/>
              </w:rPr>
              <w:t>分）。</w:t>
            </w:r>
          </w:p>
          <w:p w14:paraId="5A53CDDB">
            <w:pPr>
              <w:snapToGrid w:val="0"/>
              <w:spacing w:line="360" w:lineRule="auto"/>
              <w:rPr>
                <w:rFonts w:ascii="宋体" w:hAnsi="宋体"/>
                <w:spacing w:val="-4"/>
                <w:szCs w:val="21"/>
              </w:rPr>
            </w:pPr>
            <w:r>
              <w:rPr>
                <w:rFonts w:hint="eastAsia" w:ascii="宋体" w:hAnsi="宋体"/>
                <w:spacing w:val="-4"/>
                <w:szCs w:val="21"/>
              </w:rPr>
              <w:t>3</w:t>
            </w:r>
            <w:r>
              <w:rPr>
                <w:rFonts w:ascii="宋体" w:hAnsi="宋体"/>
                <w:spacing w:val="-4"/>
                <w:szCs w:val="21"/>
              </w:rPr>
              <w:t>.</w:t>
            </w:r>
            <w:r>
              <w:rPr>
                <w:rFonts w:hint="eastAsia" w:ascii="宋体" w:hAnsi="宋体"/>
                <w:spacing w:val="-4"/>
                <w:szCs w:val="21"/>
              </w:rPr>
              <w:t>动线资料：疏散动线明确（符合国家颁布的紧急避险等标准）；参观动线（V</w:t>
            </w:r>
            <w:r>
              <w:rPr>
                <w:rFonts w:ascii="宋体" w:hAnsi="宋体"/>
                <w:spacing w:val="-4"/>
                <w:szCs w:val="21"/>
              </w:rPr>
              <w:t>IP</w:t>
            </w:r>
            <w:r>
              <w:rPr>
                <w:rFonts w:hint="eastAsia" w:ascii="宋体" w:hAnsi="宋体"/>
                <w:spacing w:val="-4"/>
                <w:szCs w:val="21"/>
              </w:rPr>
              <w:t>、普通观众、残疾人）明确，并与图纸一致。</w:t>
            </w:r>
          </w:p>
          <w:p w14:paraId="11373F9F">
            <w:pPr>
              <w:snapToGrid w:val="0"/>
              <w:spacing w:line="360" w:lineRule="auto"/>
              <w:rPr>
                <w:rFonts w:ascii="宋体" w:hAnsi="宋体"/>
                <w:spacing w:val="-4"/>
                <w:szCs w:val="21"/>
              </w:rPr>
            </w:pPr>
            <w:r>
              <w:rPr>
                <w:rFonts w:hint="eastAsia" w:ascii="宋体" w:hAnsi="宋体"/>
                <w:spacing w:val="-4"/>
                <w:szCs w:val="21"/>
              </w:rPr>
              <w:t>4</w:t>
            </w:r>
            <w:r>
              <w:rPr>
                <w:rFonts w:ascii="宋体" w:hAnsi="宋体"/>
                <w:spacing w:val="-4"/>
                <w:szCs w:val="21"/>
              </w:rPr>
              <w:t>.</w:t>
            </w:r>
            <w:r>
              <w:rPr>
                <w:rFonts w:hint="eastAsia" w:ascii="宋体" w:hAnsi="宋体"/>
                <w:spacing w:val="-4"/>
                <w:szCs w:val="21"/>
              </w:rPr>
              <w:t>配色系统：所有施工现场与原方案（深化设计方案）标注色样一致。</w:t>
            </w:r>
          </w:p>
          <w:p w14:paraId="0E715D22">
            <w:pPr>
              <w:snapToGrid w:val="0"/>
              <w:spacing w:line="360" w:lineRule="auto"/>
              <w:rPr>
                <w:rFonts w:ascii="宋体" w:hAnsi="宋体"/>
                <w:spacing w:val="-4"/>
                <w:szCs w:val="21"/>
              </w:rPr>
            </w:pPr>
            <w:r>
              <w:rPr>
                <w:rFonts w:hint="eastAsia" w:ascii="宋体" w:hAnsi="宋体"/>
                <w:spacing w:val="-4"/>
                <w:szCs w:val="21"/>
              </w:rPr>
              <w:t>5</w:t>
            </w:r>
            <w:r>
              <w:rPr>
                <w:rFonts w:ascii="宋体" w:hAnsi="宋体"/>
                <w:spacing w:val="-4"/>
                <w:szCs w:val="21"/>
              </w:rPr>
              <w:t>.</w:t>
            </w:r>
            <w:r>
              <w:rPr>
                <w:rFonts w:hint="eastAsia" w:ascii="宋体" w:hAnsi="宋体"/>
                <w:spacing w:val="-4"/>
                <w:szCs w:val="21"/>
              </w:rPr>
              <w:t>灯光照明：现场测光（环境光源、展品照明光源）与原设计方案（深化设计方案）一致。</w:t>
            </w:r>
          </w:p>
          <w:p w14:paraId="16E49376">
            <w:pPr>
              <w:snapToGrid w:val="0"/>
              <w:spacing w:line="360" w:lineRule="auto"/>
              <w:rPr>
                <w:rFonts w:ascii="宋体" w:hAnsi="宋体"/>
                <w:spacing w:val="-4"/>
                <w:szCs w:val="21"/>
              </w:rPr>
            </w:pPr>
            <w:r>
              <w:rPr>
                <w:rFonts w:hint="eastAsia" w:ascii="宋体" w:hAnsi="宋体"/>
                <w:spacing w:val="-4"/>
                <w:szCs w:val="21"/>
              </w:rPr>
              <w:t>6</w:t>
            </w:r>
            <w:r>
              <w:rPr>
                <w:rFonts w:ascii="宋体" w:hAnsi="宋体"/>
                <w:spacing w:val="-4"/>
                <w:szCs w:val="21"/>
              </w:rPr>
              <w:t>.</w:t>
            </w:r>
            <w:r>
              <w:rPr>
                <w:rFonts w:hint="eastAsia" w:ascii="宋体" w:hAnsi="宋体"/>
                <w:spacing w:val="-4"/>
                <w:szCs w:val="21"/>
              </w:rPr>
              <w:t>导览导视系统：重要空间节点指向明确，与图纸表述一致。</w:t>
            </w:r>
          </w:p>
          <w:p w14:paraId="5D4D602D">
            <w:pPr>
              <w:snapToGrid w:val="0"/>
              <w:spacing w:line="360" w:lineRule="auto"/>
              <w:rPr>
                <w:rFonts w:ascii="宋体" w:hAnsi="宋体"/>
                <w:spacing w:val="-4"/>
                <w:szCs w:val="21"/>
              </w:rPr>
            </w:pPr>
            <w:r>
              <w:rPr>
                <w:rFonts w:hint="eastAsia" w:ascii="宋体" w:hAnsi="宋体"/>
                <w:spacing w:val="-4"/>
                <w:szCs w:val="21"/>
              </w:rPr>
              <w:t>7</w:t>
            </w:r>
            <w:r>
              <w:rPr>
                <w:rFonts w:ascii="宋体" w:hAnsi="宋体"/>
                <w:spacing w:val="-4"/>
                <w:szCs w:val="21"/>
              </w:rPr>
              <w:t>.</w:t>
            </w:r>
            <w:r>
              <w:rPr>
                <w:rFonts w:hint="eastAsia" w:ascii="宋体" w:hAnsi="宋体"/>
                <w:spacing w:val="-4"/>
                <w:szCs w:val="21"/>
              </w:rPr>
              <w:t>线上内容延展：确保数字终端浏览顺畅。</w:t>
            </w:r>
          </w:p>
          <w:p w14:paraId="438DB615">
            <w:pPr>
              <w:snapToGrid w:val="0"/>
              <w:spacing w:line="360" w:lineRule="auto"/>
              <w:rPr>
                <w:rFonts w:ascii="宋体" w:hAnsi="宋体"/>
                <w:spacing w:val="-4"/>
                <w:szCs w:val="21"/>
              </w:rPr>
            </w:pPr>
            <w:r>
              <w:rPr>
                <w:rFonts w:hint="eastAsia" w:ascii="宋体" w:hAnsi="宋体"/>
                <w:spacing w:val="-4"/>
                <w:szCs w:val="21"/>
              </w:rPr>
              <w:t>8.有展区布展图，主要展项及相关内容的制作安装图。</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2DD88D8">
            <w:pPr>
              <w:pStyle w:val="24"/>
              <w:snapToGrid w:val="0"/>
              <w:spacing w:line="36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装饰装修部分扣分项按公共建筑装饰类执行；</w:t>
            </w:r>
          </w:p>
          <w:p w14:paraId="3BD5653E">
            <w:pPr>
              <w:pStyle w:val="24"/>
              <w:snapToGrid w:val="0"/>
              <w:spacing w:line="360" w:lineRule="auto"/>
              <w:ind w:firstLine="0" w:firstLineChars="0"/>
              <w:rPr>
                <w:rFonts w:ascii="宋体" w:hAnsi="宋体"/>
                <w:szCs w:val="21"/>
              </w:rPr>
            </w:pPr>
            <w:r>
              <w:rPr>
                <w:rFonts w:hint="eastAsia" w:ascii="宋体" w:hAnsi="宋体"/>
                <w:szCs w:val="21"/>
              </w:rPr>
              <w:t>2.展陈部分无文本资料或文本资料内容问题较大的扣1</w:t>
            </w:r>
            <w:r>
              <w:rPr>
                <w:rFonts w:ascii="宋体" w:hAnsi="宋体"/>
                <w:szCs w:val="21"/>
              </w:rPr>
              <w:t>0</w:t>
            </w:r>
            <w:r>
              <w:rPr>
                <w:rFonts w:hint="eastAsia" w:ascii="宋体" w:hAnsi="宋体"/>
                <w:szCs w:val="21"/>
              </w:rPr>
              <w:t>-1</w:t>
            </w:r>
            <w:r>
              <w:rPr>
                <w:rFonts w:ascii="宋体" w:hAnsi="宋体"/>
                <w:szCs w:val="21"/>
              </w:rPr>
              <w:t>5</w:t>
            </w:r>
            <w:r>
              <w:rPr>
                <w:rFonts w:hint="eastAsia" w:ascii="宋体" w:hAnsi="宋体"/>
                <w:szCs w:val="21"/>
              </w:rPr>
              <w:t>分；</w:t>
            </w:r>
          </w:p>
          <w:p w14:paraId="755436E2">
            <w:pPr>
              <w:pStyle w:val="24"/>
              <w:snapToGrid w:val="0"/>
              <w:spacing w:line="360" w:lineRule="auto"/>
              <w:ind w:firstLine="0" w:firstLineChars="0"/>
              <w:rPr>
                <w:rFonts w:ascii="宋体" w:hAnsi="宋体"/>
                <w:szCs w:val="21"/>
              </w:rPr>
            </w:pPr>
            <w:r>
              <w:rPr>
                <w:rFonts w:hint="eastAsia" w:ascii="宋体" w:hAnsi="宋体"/>
                <w:szCs w:val="21"/>
              </w:rPr>
              <w:t>3.其他部分不符合项每项扣1-</w:t>
            </w:r>
            <w:r>
              <w:rPr>
                <w:rFonts w:ascii="宋体" w:hAnsi="宋体"/>
                <w:szCs w:val="21"/>
              </w:rPr>
              <w:t>3</w:t>
            </w:r>
            <w:r>
              <w:rPr>
                <w:rFonts w:hint="eastAsia" w:ascii="宋体" w:hAnsi="宋体"/>
                <w:szCs w:val="21"/>
              </w:rPr>
              <w:t>分。</w:t>
            </w:r>
          </w:p>
        </w:tc>
        <w:tc>
          <w:tcPr>
            <w:tcW w:w="1701" w:type="dxa"/>
            <w:tcBorders>
              <w:left w:val="single" w:color="auto" w:sz="4" w:space="0"/>
              <w:right w:val="single" w:color="auto" w:sz="4" w:space="0"/>
            </w:tcBorders>
            <w:noWrap w:val="0"/>
            <w:vAlign w:val="center"/>
          </w:tcPr>
          <w:p w14:paraId="779020F5">
            <w:pPr>
              <w:adjustRightInd w:val="0"/>
              <w:snapToGrid w:val="0"/>
              <w:spacing w:line="324" w:lineRule="auto"/>
              <w:rPr>
                <w:kern w:val="1"/>
                <w:szCs w:val="21"/>
              </w:rPr>
            </w:pPr>
            <w:r>
              <w:rPr>
                <w:rFonts w:hint="eastAsia"/>
                <w:kern w:val="1"/>
                <w:szCs w:val="21"/>
              </w:rPr>
              <w:t>1</w:t>
            </w:r>
            <w:r>
              <w:rPr>
                <w:kern w:val="1"/>
                <w:szCs w:val="21"/>
              </w:rPr>
              <w:t>.</w:t>
            </w:r>
            <w:r>
              <w:rPr>
                <w:rFonts w:hint="eastAsia"/>
                <w:kern w:val="1"/>
                <w:szCs w:val="21"/>
              </w:rPr>
              <w:t>涉及</w:t>
            </w:r>
            <w:r>
              <w:rPr>
                <w:kern w:val="1"/>
                <w:szCs w:val="21"/>
              </w:rPr>
              <w:t>主体</w:t>
            </w:r>
            <w:r>
              <w:rPr>
                <w:rFonts w:hint="eastAsia"/>
                <w:kern w:val="1"/>
                <w:szCs w:val="21"/>
              </w:rPr>
              <w:t>和</w:t>
            </w:r>
            <w:r>
              <w:rPr>
                <w:kern w:val="1"/>
                <w:szCs w:val="21"/>
              </w:rPr>
              <w:t>承重结构</w:t>
            </w:r>
            <w:r>
              <w:rPr>
                <w:rFonts w:hint="eastAsia"/>
                <w:kern w:val="1"/>
                <w:szCs w:val="21"/>
              </w:rPr>
              <w:t>改动或</w:t>
            </w:r>
            <w:r>
              <w:rPr>
                <w:kern w:val="1"/>
                <w:szCs w:val="21"/>
              </w:rPr>
              <w:t>增加荷载</w:t>
            </w:r>
            <w:r>
              <w:rPr>
                <w:rFonts w:hint="eastAsia"/>
                <w:kern w:val="1"/>
                <w:szCs w:val="21"/>
              </w:rPr>
              <w:t>时</w:t>
            </w:r>
            <w:r>
              <w:rPr>
                <w:kern w:val="1"/>
                <w:szCs w:val="21"/>
              </w:rPr>
              <w:t>，必须</w:t>
            </w:r>
            <w:r>
              <w:rPr>
                <w:rFonts w:hint="eastAsia"/>
                <w:kern w:val="1"/>
                <w:szCs w:val="21"/>
              </w:rPr>
              <w:t>经原结构</w:t>
            </w:r>
            <w:r>
              <w:rPr>
                <w:kern w:val="1"/>
                <w:szCs w:val="21"/>
              </w:rPr>
              <w:t>设计</w:t>
            </w:r>
            <w:r>
              <w:rPr>
                <w:rFonts w:hint="eastAsia"/>
                <w:kern w:val="1"/>
                <w:szCs w:val="21"/>
              </w:rPr>
              <w:t>单位或具备相应资质设计</w:t>
            </w:r>
            <w:r>
              <w:rPr>
                <w:kern w:val="1"/>
                <w:szCs w:val="21"/>
              </w:rPr>
              <w:t>单位的认可文件。</w:t>
            </w:r>
            <w:r>
              <w:rPr>
                <w:rFonts w:hint="eastAsia"/>
                <w:kern w:val="1"/>
                <w:szCs w:val="21"/>
              </w:rPr>
              <w:t>（需审查原件）</w:t>
            </w:r>
          </w:p>
          <w:p w14:paraId="3E1B849F">
            <w:pPr>
              <w:adjustRightInd w:val="0"/>
              <w:snapToGrid w:val="0"/>
              <w:spacing w:line="324" w:lineRule="auto"/>
              <w:rPr>
                <w:kern w:val="1"/>
                <w:szCs w:val="21"/>
              </w:rPr>
            </w:pPr>
            <w:r>
              <w:rPr>
                <w:rFonts w:hint="eastAsia"/>
                <w:kern w:val="1"/>
                <w:szCs w:val="21"/>
              </w:rPr>
              <w:t>1.大型吊挂物安装须有过载试验和相关隐蔽资料、构架安装节点图；</w:t>
            </w:r>
          </w:p>
          <w:p w14:paraId="6BED492B">
            <w:pPr>
              <w:adjustRightInd w:val="0"/>
              <w:snapToGrid w:val="0"/>
              <w:spacing w:line="324" w:lineRule="auto"/>
              <w:rPr>
                <w:kern w:val="1"/>
                <w:szCs w:val="21"/>
              </w:rPr>
            </w:pPr>
            <w:r>
              <w:rPr>
                <w:rFonts w:hint="eastAsia"/>
                <w:kern w:val="1"/>
                <w:szCs w:val="21"/>
              </w:rPr>
              <w:t>2</w:t>
            </w:r>
            <w:r>
              <w:rPr>
                <w:kern w:val="1"/>
                <w:szCs w:val="21"/>
              </w:rPr>
              <w:t>.</w:t>
            </w:r>
            <w:r>
              <w:rPr>
                <w:rFonts w:hint="eastAsia"/>
                <w:kern w:val="1"/>
                <w:szCs w:val="21"/>
              </w:rPr>
              <w:t>主要动线应遵循不交叉、不回头、不重复原则。</w:t>
            </w:r>
          </w:p>
        </w:tc>
        <w:tc>
          <w:tcPr>
            <w:tcW w:w="851" w:type="dxa"/>
            <w:vMerge w:val="continue"/>
            <w:tcBorders>
              <w:left w:val="single" w:color="auto" w:sz="4" w:space="0"/>
              <w:right w:val="single" w:color="auto" w:sz="4" w:space="0"/>
            </w:tcBorders>
            <w:noWrap w:val="0"/>
            <w:vAlign w:val="center"/>
          </w:tcPr>
          <w:p w14:paraId="130D77C7">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DAE593">
            <w:pPr>
              <w:snapToGrid w:val="0"/>
              <w:spacing w:line="276" w:lineRule="auto"/>
              <w:rPr>
                <w:rFonts w:ascii="宋体" w:hAnsi="宋体"/>
                <w:szCs w:val="21"/>
              </w:rPr>
            </w:pPr>
            <w:r>
              <w:rPr>
                <w:rFonts w:hint="eastAsia" w:ascii="宋体" w:hAnsi="宋体"/>
                <w:szCs w:val="21"/>
              </w:rPr>
              <w:t>结合工程实体查相关资料</w:t>
            </w:r>
          </w:p>
        </w:tc>
      </w:tr>
      <w:tr w14:paraId="0C1B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tcBorders>
              <w:left w:val="single" w:color="auto" w:sz="4" w:space="0"/>
              <w:right w:val="single" w:color="auto" w:sz="4" w:space="0"/>
            </w:tcBorders>
            <w:noWrap w:val="0"/>
            <w:vAlign w:val="center"/>
          </w:tcPr>
          <w:p w14:paraId="69634235">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noWrap w:val="0"/>
            <w:vAlign w:val="center"/>
          </w:tcPr>
          <w:p w14:paraId="6FF1B4E3">
            <w:pPr>
              <w:snapToGrid w:val="0"/>
              <w:spacing w:line="240" w:lineRule="exact"/>
              <w:jc w:val="center"/>
              <w:rPr>
                <w:rFonts w:ascii="宋体" w:hAnsi="宋体"/>
                <w:szCs w:val="21"/>
              </w:rPr>
            </w:pPr>
            <w:r>
              <w:rPr>
                <w:rFonts w:ascii="宋体" w:hAnsi="宋体"/>
                <w:szCs w:val="21"/>
              </w:rPr>
              <w:t>工程实体</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C57AF30">
            <w:pPr>
              <w:pStyle w:val="24"/>
              <w:snapToGrid w:val="0"/>
              <w:spacing w:line="360" w:lineRule="auto"/>
              <w:ind w:firstLine="0" w:firstLineChars="0"/>
              <w:rPr>
                <w:szCs w:val="21"/>
              </w:rPr>
            </w:pPr>
            <w:r>
              <w:rPr>
                <w:rFonts w:hint="eastAsia"/>
                <w:szCs w:val="21"/>
              </w:rPr>
              <w:t>1</w:t>
            </w:r>
            <w:r>
              <w:rPr>
                <w:szCs w:val="21"/>
              </w:rPr>
              <w:t>.</w:t>
            </w:r>
            <w:r>
              <w:rPr>
                <w:rFonts w:hint="eastAsia"/>
                <w:szCs w:val="21"/>
              </w:rPr>
              <w:t>装饰装修部分复查按照公共建筑装饰类（公共建筑装饰工程）执行；</w:t>
            </w:r>
          </w:p>
          <w:p w14:paraId="5CE08C0B">
            <w:pPr>
              <w:snapToGrid w:val="0"/>
              <w:spacing w:line="360" w:lineRule="auto"/>
              <w:rPr>
                <w:szCs w:val="21"/>
              </w:rPr>
            </w:pPr>
            <w:r>
              <w:rPr>
                <w:rFonts w:hint="eastAsia"/>
                <w:szCs w:val="21"/>
              </w:rPr>
              <w:t>2</w:t>
            </w:r>
            <w:r>
              <w:rPr>
                <w:szCs w:val="21"/>
              </w:rPr>
              <w:t>.</w:t>
            </w:r>
            <w:r>
              <w:rPr>
                <w:rFonts w:hint="eastAsia"/>
                <w:szCs w:val="21"/>
              </w:rPr>
              <w:t>展柜和壁龛应安装牢固，符合设计要求；</w:t>
            </w:r>
          </w:p>
          <w:p w14:paraId="5E074772">
            <w:pPr>
              <w:snapToGrid w:val="0"/>
              <w:spacing w:line="360" w:lineRule="auto"/>
              <w:rPr>
                <w:szCs w:val="21"/>
              </w:rPr>
            </w:pPr>
            <w:r>
              <w:rPr>
                <w:rFonts w:hint="eastAsia"/>
                <w:szCs w:val="21"/>
              </w:rPr>
              <w:t>3</w:t>
            </w:r>
            <w:r>
              <w:rPr>
                <w:szCs w:val="21"/>
              </w:rPr>
              <w:t>.</w:t>
            </w:r>
            <w:r>
              <w:rPr>
                <w:rFonts w:hint="eastAsia"/>
                <w:szCs w:val="21"/>
              </w:rPr>
              <w:t>文物展柜恒温恒湿设备运行良好，符合设计要求；</w:t>
            </w:r>
          </w:p>
          <w:p w14:paraId="45E42832">
            <w:pPr>
              <w:snapToGrid w:val="0"/>
              <w:spacing w:line="360" w:lineRule="auto"/>
              <w:rPr>
                <w:szCs w:val="21"/>
              </w:rPr>
            </w:pPr>
            <w:r>
              <w:rPr>
                <w:rFonts w:hint="eastAsia"/>
                <w:szCs w:val="21"/>
              </w:rPr>
              <w:t>4</w:t>
            </w:r>
            <w:r>
              <w:rPr>
                <w:szCs w:val="21"/>
              </w:rPr>
              <w:t>.</w:t>
            </w:r>
            <w:r>
              <w:rPr>
                <w:rFonts w:hint="eastAsia"/>
                <w:szCs w:val="21"/>
              </w:rPr>
              <w:t>文物展柜密封性良好，符合设计要求；</w:t>
            </w:r>
          </w:p>
          <w:p w14:paraId="6389864A">
            <w:pPr>
              <w:snapToGrid w:val="0"/>
              <w:spacing w:line="360" w:lineRule="auto"/>
              <w:rPr>
                <w:szCs w:val="21"/>
              </w:rPr>
            </w:pPr>
            <w:r>
              <w:rPr>
                <w:rFonts w:hint="eastAsia"/>
                <w:szCs w:val="21"/>
              </w:rPr>
              <w:t>5</w:t>
            </w:r>
            <w:r>
              <w:rPr>
                <w:szCs w:val="21"/>
              </w:rPr>
              <w:t>.</w:t>
            </w:r>
            <w:r>
              <w:rPr>
                <w:rFonts w:hint="eastAsia"/>
                <w:szCs w:val="21"/>
              </w:rPr>
              <w:t>展柜和壁龛表面平整、洁净、接缝应严密吻合、色泽一致，不得有裂痕、歪斜、划痕、翘曲及损坏；</w:t>
            </w:r>
          </w:p>
          <w:p w14:paraId="3F4EDB33">
            <w:pPr>
              <w:snapToGrid w:val="0"/>
              <w:spacing w:line="360" w:lineRule="auto"/>
              <w:rPr>
                <w:szCs w:val="21"/>
              </w:rPr>
            </w:pPr>
            <w:r>
              <w:rPr>
                <w:rFonts w:hint="eastAsia"/>
                <w:szCs w:val="21"/>
              </w:rPr>
              <w:t>6</w:t>
            </w:r>
            <w:r>
              <w:rPr>
                <w:szCs w:val="21"/>
              </w:rPr>
              <w:t>.</w:t>
            </w:r>
            <w:r>
              <w:rPr>
                <w:rFonts w:hint="eastAsia"/>
                <w:szCs w:val="21"/>
              </w:rPr>
              <w:t>展台表面应洁净、光滑，边缘平直整齐，不得有尖角、毛刺等锋利易划伤现象；</w:t>
            </w:r>
          </w:p>
          <w:p w14:paraId="5FE398A8">
            <w:pPr>
              <w:snapToGrid w:val="0"/>
              <w:spacing w:line="360" w:lineRule="auto"/>
              <w:rPr>
                <w:szCs w:val="21"/>
              </w:rPr>
            </w:pPr>
            <w:r>
              <w:rPr>
                <w:rFonts w:hint="eastAsia"/>
                <w:szCs w:val="21"/>
              </w:rPr>
              <w:t>7</w:t>
            </w:r>
            <w:r>
              <w:rPr>
                <w:szCs w:val="21"/>
              </w:rPr>
              <w:t>.</w:t>
            </w:r>
            <w:r>
              <w:rPr>
                <w:rFonts w:hint="eastAsia"/>
                <w:szCs w:val="21"/>
              </w:rPr>
              <w:t>五金设备应安装牢固，无晃动摇摆；</w:t>
            </w:r>
          </w:p>
          <w:p w14:paraId="75E96B2C">
            <w:pPr>
              <w:snapToGrid w:val="0"/>
              <w:spacing w:line="360" w:lineRule="auto"/>
              <w:rPr>
                <w:szCs w:val="21"/>
              </w:rPr>
            </w:pPr>
            <w:r>
              <w:rPr>
                <w:rFonts w:hint="eastAsia"/>
                <w:szCs w:val="21"/>
              </w:rPr>
              <w:t>8</w:t>
            </w:r>
            <w:r>
              <w:rPr>
                <w:szCs w:val="21"/>
              </w:rPr>
              <w:t>.</w:t>
            </w:r>
            <w:r>
              <w:rPr>
                <w:rFonts w:hint="eastAsia"/>
                <w:szCs w:val="21"/>
              </w:rPr>
              <w:t>展品说明牌、展架、展托、卡具、容器等符合设计要求，安装牢固，表面光滑、边缘平直整齐，无毛刺，不得有歪斜和翘曲；</w:t>
            </w:r>
          </w:p>
          <w:p w14:paraId="5B35B4EA">
            <w:pPr>
              <w:snapToGrid w:val="0"/>
              <w:spacing w:line="360" w:lineRule="auto"/>
              <w:rPr>
                <w:szCs w:val="21"/>
              </w:rPr>
            </w:pPr>
            <w:r>
              <w:rPr>
                <w:rFonts w:hint="eastAsia"/>
                <w:szCs w:val="21"/>
              </w:rPr>
              <w:t>9</w:t>
            </w:r>
            <w:r>
              <w:rPr>
                <w:szCs w:val="21"/>
              </w:rPr>
              <w:t>.</w:t>
            </w:r>
            <w:r>
              <w:rPr>
                <w:rFonts w:hint="eastAsia"/>
                <w:szCs w:val="21"/>
              </w:rPr>
              <w:t>展板、展柜、展台等使用的材料应符合防火设计规范要求（不符合扣3-10分）；</w:t>
            </w:r>
          </w:p>
          <w:p w14:paraId="427A7F24">
            <w:pPr>
              <w:snapToGrid w:val="0"/>
              <w:spacing w:line="360" w:lineRule="auto"/>
              <w:rPr>
                <w:szCs w:val="21"/>
              </w:rPr>
            </w:pPr>
            <w:r>
              <w:rPr>
                <w:rFonts w:hint="eastAsia"/>
                <w:szCs w:val="21"/>
              </w:rPr>
              <w:t>1</w:t>
            </w:r>
            <w:r>
              <w:rPr>
                <w:szCs w:val="21"/>
              </w:rPr>
              <w:t>0</w:t>
            </w:r>
            <w:r>
              <w:rPr>
                <w:rFonts w:hint="eastAsia"/>
                <w:szCs w:val="21"/>
              </w:rPr>
              <w:t>．展板及图文粘贴牢固，不得有空鼓、翘边。表面应平整、洁净、色泽一致，不得有波纹、起伏、气泡、裂缝、皱折、斑污、胶痕；</w:t>
            </w:r>
          </w:p>
          <w:p w14:paraId="3B6C7D63">
            <w:pPr>
              <w:snapToGrid w:val="0"/>
              <w:spacing w:line="360" w:lineRule="auto"/>
              <w:rPr>
                <w:szCs w:val="21"/>
              </w:rPr>
            </w:pPr>
            <w:r>
              <w:rPr>
                <w:rFonts w:hint="eastAsia"/>
                <w:szCs w:val="21"/>
              </w:rPr>
              <w:t>11．场景、模型和沙盘的表面应洁净，接缝应严密吻合，不得有歪斜、翘曲及损坏，安装应牢固；</w:t>
            </w:r>
          </w:p>
          <w:p w14:paraId="632C29E5">
            <w:pPr>
              <w:snapToGrid w:val="0"/>
              <w:spacing w:line="360" w:lineRule="auto"/>
              <w:rPr>
                <w:szCs w:val="21"/>
              </w:rPr>
            </w:pPr>
            <w:r>
              <w:rPr>
                <w:rFonts w:hint="eastAsia"/>
                <w:szCs w:val="21"/>
              </w:rPr>
              <w:t>1</w:t>
            </w:r>
            <w:r>
              <w:rPr>
                <w:szCs w:val="21"/>
              </w:rPr>
              <w:t>2.</w:t>
            </w:r>
            <w:r>
              <w:rPr>
                <w:rFonts w:hint="eastAsia"/>
                <w:szCs w:val="21"/>
              </w:rPr>
              <w:t>雕塑、绘画所使用的材料应符合设计要求和国家现行有关标准的规定；</w:t>
            </w:r>
          </w:p>
          <w:p w14:paraId="77CE5EBB">
            <w:pPr>
              <w:snapToGrid w:val="0"/>
              <w:spacing w:line="360" w:lineRule="auto"/>
              <w:rPr>
                <w:szCs w:val="21"/>
              </w:rPr>
            </w:pPr>
            <w:r>
              <w:rPr>
                <w:rFonts w:hint="eastAsia"/>
                <w:szCs w:val="21"/>
              </w:rPr>
              <w:t>1</w:t>
            </w:r>
            <w:r>
              <w:rPr>
                <w:szCs w:val="21"/>
              </w:rPr>
              <w:t>3</w:t>
            </w:r>
            <w:r>
              <w:rPr>
                <w:rFonts w:hint="eastAsia"/>
                <w:szCs w:val="21"/>
              </w:rPr>
              <w:t>．重型雕塑应安装牢固并符合结构承重要求（不符合扣3-10分）；</w:t>
            </w:r>
          </w:p>
          <w:p w14:paraId="29CF575C">
            <w:pPr>
              <w:snapToGrid w:val="0"/>
              <w:spacing w:line="360" w:lineRule="auto"/>
              <w:rPr>
                <w:szCs w:val="21"/>
              </w:rPr>
            </w:pPr>
            <w:r>
              <w:rPr>
                <w:rFonts w:hint="eastAsia"/>
                <w:szCs w:val="21"/>
              </w:rPr>
              <w:t>1</w:t>
            </w:r>
            <w:r>
              <w:rPr>
                <w:szCs w:val="21"/>
              </w:rPr>
              <w:t>4.</w:t>
            </w:r>
            <w:r>
              <w:rPr>
                <w:rFonts w:hint="eastAsia"/>
                <w:szCs w:val="21"/>
              </w:rPr>
              <w:t>多媒体设备安装应牢固；</w:t>
            </w:r>
          </w:p>
          <w:p w14:paraId="7A96B9D1">
            <w:pPr>
              <w:snapToGrid w:val="0"/>
              <w:spacing w:line="360" w:lineRule="auto"/>
              <w:rPr>
                <w:szCs w:val="21"/>
              </w:rPr>
            </w:pPr>
            <w:r>
              <w:rPr>
                <w:rFonts w:hint="eastAsia"/>
                <w:szCs w:val="21"/>
              </w:rPr>
              <w:t>1</w:t>
            </w:r>
            <w:r>
              <w:rPr>
                <w:szCs w:val="21"/>
              </w:rPr>
              <w:t>5</w:t>
            </w:r>
            <w:r>
              <w:rPr>
                <w:rFonts w:hint="eastAsia"/>
                <w:szCs w:val="21"/>
              </w:rPr>
              <w:t>．多媒体设备运行正常，各类影片播放正常，无黑屏、坏点等现象；</w:t>
            </w:r>
          </w:p>
          <w:p w14:paraId="14E8A052">
            <w:pPr>
              <w:snapToGrid w:val="0"/>
              <w:spacing w:line="360" w:lineRule="auto"/>
              <w:rPr>
                <w:szCs w:val="21"/>
              </w:rPr>
            </w:pPr>
            <w:r>
              <w:rPr>
                <w:rFonts w:hint="eastAsia"/>
                <w:szCs w:val="21"/>
              </w:rPr>
              <w:t>1</w:t>
            </w:r>
            <w:r>
              <w:rPr>
                <w:szCs w:val="21"/>
              </w:rPr>
              <w:t>6.</w:t>
            </w:r>
            <w:r>
              <w:rPr>
                <w:rFonts w:hint="eastAsia"/>
                <w:szCs w:val="21"/>
              </w:rPr>
              <w:t>投影影片融合带无明显色差；</w:t>
            </w:r>
          </w:p>
          <w:p w14:paraId="2980C2BD">
            <w:pPr>
              <w:snapToGrid w:val="0"/>
              <w:spacing w:line="360" w:lineRule="auto"/>
              <w:rPr>
                <w:szCs w:val="21"/>
              </w:rPr>
            </w:pPr>
            <w:r>
              <w:rPr>
                <w:rFonts w:hint="eastAsia"/>
                <w:szCs w:val="21"/>
              </w:rPr>
              <w:t>1</w:t>
            </w:r>
            <w:r>
              <w:rPr>
                <w:szCs w:val="21"/>
              </w:rPr>
              <w:t>7.</w:t>
            </w:r>
            <w:r>
              <w:rPr>
                <w:rFonts w:hint="eastAsia"/>
                <w:szCs w:val="21"/>
              </w:rPr>
              <w:t>互动展项观感质量应符合设计要求，安装牢固，调节灵活，操作方便，表面洁净，拼缝应严密吻合，不得有凸起、凹陷、划痕和损坏；</w:t>
            </w:r>
          </w:p>
          <w:p w14:paraId="281E0B56">
            <w:pPr>
              <w:snapToGrid w:val="0"/>
              <w:spacing w:line="360" w:lineRule="auto"/>
              <w:rPr>
                <w:szCs w:val="21"/>
              </w:rPr>
            </w:pPr>
            <w:r>
              <w:rPr>
                <w:rFonts w:hint="eastAsia"/>
                <w:szCs w:val="21"/>
              </w:rPr>
              <w:t>1</w:t>
            </w:r>
            <w:r>
              <w:rPr>
                <w:szCs w:val="21"/>
              </w:rPr>
              <w:t>8.</w:t>
            </w:r>
            <w:r>
              <w:rPr>
                <w:rFonts w:hint="eastAsia"/>
                <w:szCs w:val="21"/>
              </w:rPr>
              <w:t>弱电机房布线整齐、合理，有清晰标签；</w:t>
            </w:r>
          </w:p>
          <w:p w14:paraId="3DE447ED">
            <w:pPr>
              <w:snapToGrid w:val="0"/>
              <w:spacing w:line="360" w:lineRule="auto"/>
              <w:rPr>
                <w:szCs w:val="21"/>
              </w:rPr>
            </w:pPr>
            <w:r>
              <w:rPr>
                <w:rFonts w:hint="eastAsia"/>
                <w:szCs w:val="21"/>
              </w:rPr>
              <w:t>1</w:t>
            </w:r>
            <w:r>
              <w:rPr>
                <w:szCs w:val="21"/>
              </w:rPr>
              <w:t>9.</w:t>
            </w:r>
            <w:r>
              <w:rPr>
                <w:rFonts w:hint="eastAsia"/>
                <w:szCs w:val="21"/>
              </w:rPr>
              <w:t>斜坡地面的坡度应符合设计规范要求，行走安全；</w:t>
            </w:r>
          </w:p>
          <w:p w14:paraId="2EA040C4">
            <w:pPr>
              <w:snapToGrid w:val="0"/>
              <w:spacing w:line="360" w:lineRule="auto"/>
              <w:rPr>
                <w:szCs w:val="21"/>
              </w:rPr>
            </w:pPr>
            <w:r>
              <w:rPr>
                <w:rFonts w:hint="eastAsia"/>
                <w:szCs w:val="21"/>
              </w:rPr>
              <w:t>2</w:t>
            </w:r>
            <w:r>
              <w:rPr>
                <w:szCs w:val="21"/>
              </w:rPr>
              <w:t>0.</w:t>
            </w:r>
            <w:r>
              <w:rPr>
                <w:rFonts w:hint="eastAsia"/>
                <w:szCs w:val="21"/>
              </w:rPr>
              <w:t>导览导视系统安装牢固，安装位置符合设计要求；</w:t>
            </w:r>
          </w:p>
          <w:p w14:paraId="528F0E5F">
            <w:pPr>
              <w:snapToGrid w:val="0"/>
              <w:spacing w:line="360" w:lineRule="auto"/>
              <w:rPr>
                <w:szCs w:val="21"/>
              </w:rPr>
            </w:pPr>
            <w:r>
              <w:rPr>
                <w:rFonts w:hint="eastAsia"/>
                <w:szCs w:val="21"/>
              </w:rPr>
              <w:t>2</w:t>
            </w:r>
            <w:r>
              <w:rPr>
                <w:szCs w:val="21"/>
              </w:rPr>
              <w:t>1.</w:t>
            </w:r>
            <w:r>
              <w:rPr>
                <w:rFonts w:hint="eastAsia"/>
                <w:szCs w:val="21"/>
              </w:rPr>
              <w:t>设备、展项、灯光安装牢固，超过10kg的吊挂物应做过载试验（不符合扣3-10分）；</w:t>
            </w:r>
          </w:p>
          <w:p w14:paraId="7BD23694">
            <w:pPr>
              <w:snapToGrid w:val="0"/>
              <w:spacing w:line="360" w:lineRule="auto"/>
              <w:rPr>
                <w:szCs w:val="21"/>
              </w:rPr>
            </w:pPr>
            <w:r>
              <w:rPr>
                <w:rFonts w:hint="eastAsia"/>
                <w:szCs w:val="21"/>
              </w:rPr>
              <w:t>2</w:t>
            </w:r>
            <w:r>
              <w:rPr>
                <w:szCs w:val="21"/>
              </w:rPr>
              <w:t>2.</w:t>
            </w:r>
            <w:r>
              <w:rPr>
                <w:rFonts w:hint="eastAsia"/>
                <w:szCs w:val="21"/>
              </w:rPr>
              <w:t>无吊顶展区设备及管线应排布整齐。</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747FD56">
            <w:pPr>
              <w:adjustRightInd w:val="0"/>
              <w:snapToGrid w:val="0"/>
              <w:spacing w:line="324" w:lineRule="auto"/>
              <w:rPr>
                <w:kern w:val="1"/>
                <w:szCs w:val="21"/>
              </w:rPr>
            </w:pPr>
            <w:r>
              <w:rPr>
                <w:rFonts w:hint="eastAsia"/>
                <w:kern w:val="1"/>
                <w:szCs w:val="21"/>
              </w:rPr>
              <w:t>1</w:t>
            </w:r>
            <w:r>
              <w:rPr>
                <w:kern w:val="1"/>
                <w:szCs w:val="21"/>
              </w:rPr>
              <w:t>.</w:t>
            </w:r>
            <w:r>
              <w:rPr>
                <w:rFonts w:hint="eastAsia"/>
                <w:kern w:val="1"/>
                <w:szCs w:val="21"/>
              </w:rPr>
              <w:t>装饰装修部分复查按公共建筑装饰类执行；</w:t>
            </w:r>
          </w:p>
          <w:p w14:paraId="0D00D89E">
            <w:pPr>
              <w:adjustRightInd w:val="0"/>
              <w:snapToGrid w:val="0"/>
              <w:spacing w:line="324" w:lineRule="auto"/>
              <w:rPr>
                <w:kern w:val="1"/>
                <w:szCs w:val="21"/>
              </w:rPr>
            </w:pPr>
            <w:r>
              <w:rPr>
                <w:kern w:val="1"/>
                <w:szCs w:val="21"/>
              </w:rPr>
              <w:t>2.</w:t>
            </w:r>
            <w:r>
              <w:rPr>
                <w:rFonts w:hint="eastAsia"/>
                <w:kern w:val="1"/>
                <w:szCs w:val="21"/>
              </w:rPr>
              <w:t>重型雕塑等安装不符合结构承重要求的扣3-10分；</w:t>
            </w:r>
          </w:p>
          <w:p w14:paraId="1DDAE227">
            <w:pPr>
              <w:adjustRightInd w:val="0"/>
              <w:snapToGrid w:val="0"/>
              <w:spacing w:line="324" w:lineRule="auto"/>
              <w:rPr>
                <w:kern w:val="1"/>
                <w:szCs w:val="21"/>
              </w:rPr>
            </w:pPr>
            <w:r>
              <w:rPr>
                <w:rFonts w:hint="eastAsia"/>
                <w:kern w:val="1"/>
                <w:szCs w:val="21"/>
              </w:rPr>
              <w:t>3</w:t>
            </w:r>
            <w:r>
              <w:rPr>
                <w:kern w:val="1"/>
                <w:szCs w:val="21"/>
              </w:rPr>
              <w:t>.</w:t>
            </w:r>
            <w:r>
              <w:rPr>
                <w:rFonts w:hint="eastAsia"/>
                <w:kern w:val="1"/>
                <w:szCs w:val="21"/>
              </w:rPr>
              <w:t>展板、展柜、展台等使用的材料不符合防火设计规范要求的扣3-10分；</w:t>
            </w:r>
          </w:p>
          <w:p w14:paraId="1BB58F2A">
            <w:pPr>
              <w:adjustRightInd w:val="0"/>
              <w:snapToGrid w:val="0"/>
              <w:spacing w:line="324" w:lineRule="auto"/>
              <w:rPr>
                <w:kern w:val="1"/>
                <w:szCs w:val="21"/>
              </w:rPr>
            </w:pPr>
            <w:r>
              <w:rPr>
                <w:rFonts w:hint="eastAsia"/>
                <w:kern w:val="1"/>
                <w:szCs w:val="21"/>
              </w:rPr>
              <w:t>4</w:t>
            </w:r>
            <w:r>
              <w:rPr>
                <w:kern w:val="1"/>
                <w:szCs w:val="21"/>
              </w:rPr>
              <w:t>.</w:t>
            </w:r>
            <w:r>
              <w:rPr>
                <w:rFonts w:hint="eastAsia"/>
                <w:kern w:val="1"/>
                <w:szCs w:val="21"/>
              </w:rPr>
              <w:t>设备、展项、灯具等超过10kg的吊挂物未做过载试验的扣3-10分；</w:t>
            </w:r>
          </w:p>
          <w:p w14:paraId="33B96B1F">
            <w:pPr>
              <w:adjustRightInd w:val="0"/>
              <w:snapToGrid w:val="0"/>
              <w:spacing w:line="324" w:lineRule="auto"/>
              <w:rPr>
                <w:kern w:val="1"/>
                <w:szCs w:val="21"/>
              </w:rPr>
            </w:pPr>
            <w:r>
              <w:rPr>
                <w:rFonts w:hint="eastAsia"/>
                <w:kern w:val="1"/>
                <w:szCs w:val="21"/>
              </w:rPr>
              <w:t>5</w:t>
            </w:r>
            <w:r>
              <w:rPr>
                <w:kern w:val="1"/>
                <w:szCs w:val="21"/>
              </w:rPr>
              <w:t>.</w:t>
            </w:r>
            <w:r>
              <w:rPr>
                <w:rFonts w:hint="eastAsia"/>
                <w:kern w:val="1"/>
                <w:szCs w:val="21"/>
              </w:rPr>
              <w:t>文物展柜恒温恒湿设备密封性不符合设计要求扣3-5分。</w:t>
            </w:r>
          </w:p>
          <w:p w14:paraId="17B68F81">
            <w:pPr>
              <w:adjustRightInd w:val="0"/>
              <w:snapToGrid w:val="0"/>
              <w:spacing w:line="324" w:lineRule="auto"/>
              <w:rPr>
                <w:kern w:val="1"/>
                <w:szCs w:val="21"/>
              </w:rPr>
            </w:pPr>
            <w:r>
              <w:rPr>
                <w:rFonts w:hint="eastAsia"/>
                <w:kern w:val="1"/>
                <w:szCs w:val="21"/>
              </w:rPr>
              <w:t>6多媒体设备、影片不稳定或有黑屏等现象扣3-5分。</w:t>
            </w:r>
          </w:p>
          <w:p w14:paraId="5E2752F3">
            <w:pPr>
              <w:adjustRightInd w:val="0"/>
              <w:snapToGrid w:val="0"/>
              <w:spacing w:line="324" w:lineRule="auto"/>
              <w:rPr>
                <w:kern w:val="1"/>
                <w:szCs w:val="21"/>
              </w:rPr>
            </w:pPr>
            <w:r>
              <w:rPr>
                <w:kern w:val="1"/>
                <w:szCs w:val="21"/>
              </w:rPr>
              <w:t>7.</w:t>
            </w:r>
            <w:r>
              <w:rPr>
                <w:rFonts w:hint="eastAsia"/>
                <w:kern w:val="1"/>
                <w:szCs w:val="21"/>
              </w:rPr>
              <w:t>其他不符合的扣</w:t>
            </w:r>
            <w:r>
              <w:rPr>
                <w:kern w:val="1"/>
                <w:szCs w:val="21"/>
              </w:rPr>
              <w:t>0.5</w:t>
            </w:r>
            <w:r>
              <w:rPr>
                <w:rFonts w:hint="eastAsia"/>
                <w:kern w:val="1"/>
                <w:szCs w:val="21"/>
              </w:rPr>
              <w:t>-</w:t>
            </w:r>
            <w:r>
              <w:rPr>
                <w:kern w:val="1"/>
                <w:szCs w:val="21"/>
              </w:rPr>
              <w:t>2</w:t>
            </w:r>
            <w:r>
              <w:rPr>
                <w:rFonts w:hint="eastAsia"/>
                <w:kern w:val="1"/>
                <w:szCs w:val="21"/>
              </w:rPr>
              <w:t>分。</w:t>
            </w:r>
          </w:p>
        </w:tc>
        <w:tc>
          <w:tcPr>
            <w:tcW w:w="1701" w:type="dxa"/>
            <w:tcBorders>
              <w:left w:val="single" w:color="auto" w:sz="4" w:space="0"/>
              <w:right w:val="single" w:color="auto" w:sz="4" w:space="0"/>
            </w:tcBorders>
            <w:noWrap w:val="0"/>
            <w:vAlign w:val="center"/>
          </w:tcPr>
          <w:p w14:paraId="5406D117">
            <w:pPr>
              <w:pStyle w:val="2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涉及安装安全的内容为应查项。</w:t>
            </w:r>
          </w:p>
          <w:p w14:paraId="487E53C0">
            <w:pPr>
              <w:pStyle w:val="2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涉及公共场地、场景安全的内容为应查项。</w:t>
            </w:r>
          </w:p>
          <w:p w14:paraId="53077EC2">
            <w:pPr>
              <w:pStyle w:val="24"/>
              <w:snapToGrid w:val="0"/>
              <w:spacing w:line="288" w:lineRule="auto"/>
              <w:ind w:firstLine="0" w:firstLineChars="0"/>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涉及用电、防火安全的内容为应查项。</w:t>
            </w:r>
          </w:p>
        </w:tc>
        <w:tc>
          <w:tcPr>
            <w:tcW w:w="851" w:type="dxa"/>
            <w:tcBorders>
              <w:left w:val="single" w:color="auto" w:sz="4" w:space="0"/>
              <w:right w:val="single" w:color="auto" w:sz="4" w:space="0"/>
            </w:tcBorders>
            <w:noWrap w:val="0"/>
            <w:vAlign w:val="center"/>
          </w:tcPr>
          <w:p w14:paraId="43B8E806">
            <w:pPr>
              <w:snapToGrid w:val="0"/>
              <w:spacing w:line="288" w:lineRule="auto"/>
              <w:jc w:val="center"/>
              <w:rPr>
                <w:rFonts w:ascii="宋体" w:hAnsi="宋体"/>
                <w:szCs w:val="21"/>
              </w:rPr>
            </w:pPr>
            <w:r>
              <w:rPr>
                <w:rFonts w:hint="eastAsia" w:ascii="宋体" w:hAnsi="宋体"/>
                <w:szCs w:val="21"/>
              </w:rPr>
              <w:t>60分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7C7F2D">
            <w:pPr>
              <w:snapToGrid w:val="0"/>
              <w:spacing w:line="360" w:lineRule="auto"/>
              <w:rPr>
                <w:rFonts w:ascii="宋体" w:hAnsi="宋体"/>
                <w:szCs w:val="21"/>
              </w:rPr>
            </w:pPr>
            <w:r>
              <w:rPr>
                <w:rFonts w:hint="eastAsia" w:ascii="宋体" w:hAnsi="宋体"/>
                <w:szCs w:val="21"/>
              </w:rPr>
              <w:t>查：工程实体质量，并核对图纸、质量管理与技术资料是否与工程实体相符。</w:t>
            </w:r>
          </w:p>
        </w:tc>
      </w:tr>
      <w:tr w14:paraId="690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67" w:type="dxa"/>
            <w:tcBorders>
              <w:left w:val="single" w:color="auto" w:sz="4" w:space="0"/>
              <w:right w:val="single" w:color="auto" w:sz="4" w:space="0"/>
            </w:tcBorders>
            <w:noWrap w:val="0"/>
            <w:vAlign w:val="center"/>
          </w:tcPr>
          <w:p w14:paraId="51A0A45D">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noWrap w:val="0"/>
            <w:vAlign w:val="center"/>
          </w:tcPr>
          <w:p w14:paraId="4D6DAF09">
            <w:pPr>
              <w:snapToGrid w:val="0"/>
              <w:spacing w:line="240" w:lineRule="exact"/>
              <w:jc w:val="center"/>
              <w:rPr>
                <w:rFonts w:ascii="宋体" w:hAnsi="宋体"/>
                <w:color w:val="auto"/>
                <w:szCs w:val="21"/>
              </w:rPr>
            </w:pPr>
            <w:r>
              <w:rPr>
                <w:rFonts w:ascii="宋体" w:hAnsi="宋体"/>
                <w:color w:val="auto"/>
                <w:szCs w:val="21"/>
              </w:rPr>
              <w:t>氛围呈现</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F053ECB">
            <w:pPr>
              <w:pStyle w:val="2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交互性展项体验感受良好；</w:t>
            </w:r>
          </w:p>
          <w:p w14:paraId="751A5439">
            <w:pPr>
              <w:pStyle w:val="24"/>
              <w:snapToGrid w:val="0"/>
              <w:spacing w:line="360" w:lineRule="auto"/>
              <w:ind w:firstLine="0" w:firstLineChars="0"/>
              <w:rPr>
                <w:rFonts w:ascii="黑体" w:hAnsi="黑体" w:eastAsia="黑体"/>
                <w:color w:val="auto"/>
                <w:szCs w:val="21"/>
              </w:rPr>
            </w:pPr>
            <w:r>
              <w:rPr>
                <w:rFonts w:hint="eastAsia"/>
                <w:color w:val="auto"/>
                <w:szCs w:val="21"/>
              </w:rPr>
              <w:t>2</w:t>
            </w:r>
            <w:r>
              <w:rPr>
                <w:color w:val="auto"/>
                <w:szCs w:val="21"/>
              </w:rPr>
              <w:t>.</w:t>
            </w:r>
            <w:r>
              <w:rPr>
                <w:rFonts w:hint="eastAsia"/>
                <w:color w:val="auto"/>
                <w:szCs w:val="21"/>
              </w:rPr>
              <w:t>展陈区域整体艺术氛围呈现良好。</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EB610CA">
            <w:pPr>
              <w:pStyle w:val="24"/>
              <w:snapToGrid w:val="0"/>
              <w:spacing w:line="276" w:lineRule="auto"/>
              <w:ind w:firstLine="0" w:firstLineChars="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交互体验欠佳（扣1-2分）；</w:t>
            </w:r>
          </w:p>
          <w:p w14:paraId="2B6C6140">
            <w:pPr>
              <w:pStyle w:val="24"/>
              <w:snapToGrid w:val="0"/>
              <w:spacing w:line="276" w:lineRule="auto"/>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整体艺术氛围欠佳（扣1-3分）。</w:t>
            </w:r>
          </w:p>
        </w:tc>
        <w:tc>
          <w:tcPr>
            <w:tcW w:w="1701" w:type="dxa"/>
            <w:tcBorders>
              <w:left w:val="single" w:color="auto" w:sz="4" w:space="0"/>
              <w:right w:val="single" w:color="auto" w:sz="4" w:space="0"/>
            </w:tcBorders>
            <w:noWrap w:val="0"/>
            <w:vAlign w:val="center"/>
          </w:tcPr>
          <w:p w14:paraId="54FEB10E">
            <w:pPr>
              <w:snapToGrid w:val="0"/>
              <w:spacing w:line="288" w:lineRule="auto"/>
              <w:jc w:val="left"/>
              <w:rPr>
                <w:rFonts w:ascii="宋体" w:hAnsi="宋体"/>
                <w:color w:val="auto"/>
                <w:szCs w:val="21"/>
              </w:rPr>
            </w:pPr>
          </w:p>
        </w:tc>
        <w:tc>
          <w:tcPr>
            <w:tcW w:w="851" w:type="dxa"/>
            <w:tcBorders>
              <w:left w:val="single" w:color="auto" w:sz="4" w:space="0"/>
              <w:right w:val="single" w:color="auto" w:sz="4" w:space="0"/>
            </w:tcBorders>
            <w:noWrap w:val="0"/>
            <w:vAlign w:val="center"/>
          </w:tcPr>
          <w:p w14:paraId="26F26870">
            <w:pPr>
              <w:snapToGrid w:val="0"/>
              <w:spacing w:line="288"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3AACB3B">
            <w:pPr>
              <w:snapToGrid w:val="0"/>
              <w:spacing w:line="276" w:lineRule="auto"/>
              <w:rPr>
                <w:rFonts w:ascii="宋体" w:hAnsi="宋体"/>
                <w:color w:val="auto"/>
                <w:szCs w:val="21"/>
              </w:rPr>
            </w:pPr>
          </w:p>
        </w:tc>
      </w:tr>
      <w:tr w14:paraId="7159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left w:val="single" w:color="auto" w:sz="4" w:space="0"/>
              <w:right w:val="single" w:color="auto" w:sz="4" w:space="0"/>
            </w:tcBorders>
            <w:noWrap w:val="0"/>
            <w:vAlign w:val="center"/>
          </w:tcPr>
          <w:p w14:paraId="0136E114">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noWrap w:val="0"/>
            <w:vAlign w:val="center"/>
          </w:tcPr>
          <w:p w14:paraId="7EB01112">
            <w:pPr>
              <w:snapToGrid w:val="0"/>
              <w:spacing w:line="240" w:lineRule="exact"/>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ED8D87D">
            <w:pPr>
              <w:pStyle w:val="2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创新技术；</w:t>
            </w:r>
          </w:p>
          <w:p w14:paraId="7010103B">
            <w:pPr>
              <w:pStyle w:val="24"/>
              <w:snapToGrid w:val="0"/>
              <w:spacing w:line="360" w:lineRule="auto"/>
              <w:ind w:firstLine="0" w:firstLineChars="0"/>
              <w:rPr>
                <w:rFonts w:ascii="黑体" w:hAnsi="黑体" w:eastAsia="黑体"/>
                <w:color w:val="auto"/>
                <w:szCs w:val="21"/>
              </w:rPr>
            </w:pPr>
            <w:r>
              <w:rPr>
                <w:rFonts w:hint="eastAsia"/>
                <w:color w:val="auto"/>
                <w:szCs w:val="21"/>
              </w:rPr>
              <w:t>2</w:t>
            </w:r>
            <w:r>
              <w:rPr>
                <w:color w:val="auto"/>
                <w:szCs w:val="21"/>
              </w:rPr>
              <w:t>.</w:t>
            </w:r>
            <w:r>
              <w:rPr>
                <w:rFonts w:hint="eastAsia"/>
                <w:color w:val="auto"/>
                <w:szCs w:val="21"/>
              </w:rPr>
              <w:t>采用了新技术、新工艺、新材料、新设备；</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7A1E668">
            <w:pPr>
              <w:snapToGrid w:val="0"/>
              <w:spacing w:line="276" w:lineRule="auto"/>
              <w:rPr>
                <w:rFonts w:ascii="宋体" w:hAnsi="宋体"/>
                <w:color w:val="auto"/>
                <w:szCs w:val="21"/>
              </w:rPr>
            </w:pPr>
            <w:r>
              <w:rPr>
                <w:rFonts w:hint="eastAsia" w:ascii="宋体" w:hAnsi="宋体" w:cs="宋体"/>
                <w:color w:val="auto"/>
                <w:szCs w:val="21"/>
              </w:rPr>
              <w:t>没有新技术应用内容的，扣</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分。</w:t>
            </w:r>
          </w:p>
        </w:tc>
        <w:tc>
          <w:tcPr>
            <w:tcW w:w="1701" w:type="dxa"/>
            <w:tcBorders>
              <w:left w:val="single" w:color="auto" w:sz="4" w:space="0"/>
              <w:right w:val="single" w:color="auto" w:sz="4" w:space="0"/>
            </w:tcBorders>
            <w:noWrap w:val="0"/>
            <w:vAlign w:val="center"/>
          </w:tcPr>
          <w:p w14:paraId="012FA142">
            <w:pPr>
              <w:snapToGrid w:val="0"/>
              <w:spacing w:line="288" w:lineRule="auto"/>
              <w:jc w:val="left"/>
              <w:rPr>
                <w:rFonts w:ascii="宋体" w:hAnsi="宋体"/>
                <w:color w:val="auto"/>
                <w:szCs w:val="21"/>
              </w:rPr>
            </w:pPr>
          </w:p>
        </w:tc>
        <w:tc>
          <w:tcPr>
            <w:tcW w:w="851" w:type="dxa"/>
            <w:tcBorders>
              <w:left w:val="single" w:color="auto" w:sz="4" w:space="0"/>
              <w:right w:val="single" w:color="auto" w:sz="4" w:space="0"/>
            </w:tcBorders>
            <w:noWrap w:val="0"/>
            <w:vAlign w:val="center"/>
          </w:tcPr>
          <w:p w14:paraId="7D58ACAA">
            <w:pPr>
              <w:snapToGrid w:val="0"/>
              <w:spacing w:line="288"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14C95E">
            <w:pPr>
              <w:snapToGrid w:val="0"/>
              <w:spacing w:line="276" w:lineRule="auto"/>
              <w:rPr>
                <w:rFonts w:ascii="宋体" w:hAnsi="宋体"/>
                <w:color w:val="auto"/>
                <w:szCs w:val="21"/>
              </w:rPr>
            </w:pPr>
          </w:p>
        </w:tc>
      </w:tr>
      <w:tr w14:paraId="1EE8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67" w:type="dxa"/>
            <w:tcBorders>
              <w:left w:val="single" w:color="auto" w:sz="4" w:space="0"/>
              <w:right w:val="single" w:color="auto" w:sz="4" w:space="0"/>
            </w:tcBorders>
            <w:noWrap w:val="0"/>
            <w:vAlign w:val="center"/>
          </w:tcPr>
          <w:p w14:paraId="13BAE04A">
            <w:pPr>
              <w:snapToGrid w:val="0"/>
              <w:spacing w:line="288" w:lineRule="auto"/>
              <w:jc w:val="center"/>
              <w:rPr>
                <w:rFonts w:ascii="宋体" w:hAnsi="宋体"/>
                <w:color w:val="FF0000"/>
                <w:szCs w:val="21"/>
              </w:rPr>
            </w:pPr>
            <w:r>
              <w:rPr>
                <w:rFonts w:hint="eastAsia" w:ascii="宋体" w:hAnsi="宋体"/>
                <w:color w:val="FF0000"/>
                <w:szCs w:val="21"/>
              </w:rPr>
              <w:t>5</w:t>
            </w:r>
          </w:p>
        </w:tc>
        <w:tc>
          <w:tcPr>
            <w:tcW w:w="1277" w:type="dxa"/>
            <w:tcBorders>
              <w:left w:val="single" w:color="auto" w:sz="4" w:space="0"/>
              <w:right w:val="single" w:color="auto" w:sz="4" w:space="0"/>
            </w:tcBorders>
            <w:noWrap w:val="0"/>
            <w:vAlign w:val="center"/>
          </w:tcPr>
          <w:p w14:paraId="69AB15E6">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B9BA6BA">
            <w:pPr>
              <w:pStyle w:val="2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组织工作准备充分,人员到位(项目经理或执行经理、技术负责人或资料员等相关人员应到场)，汇报内容重点突出、简单明了；</w:t>
            </w:r>
          </w:p>
          <w:p w14:paraId="0051D3A3">
            <w:pPr>
              <w:pStyle w:val="24"/>
              <w:snapToGrid w:val="0"/>
              <w:spacing w:line="360" w:lineRule="auto"/>
              <w:ind w:firstLine="0" w:firstLineChars="0"/>
              <w:rPr>
                <w:color w:val="auto"/>
                <w:szCs w:val="21"/>
              </w:rPr>
            </w:pPr>
            <w:r>
              <w:rPr>
                <w:color w:val="auto"/>
                <w:szCs w:val="21"/>
              </w:rPr>
              <w:t>2.</w:t>
            </w:r>
            <w:r>
              <w:rPr>
                <w:rFonts w:hint="eastAsia"/>
                <w:color w:val="auto"/>
                <w:szCs w:val="21"/>
              </w:rPr>
              <w:t>资料准备充分有序，易于查找；</w:t>
            </w:r>
          </w:p>
          <w:p w14:paraId="21E5CDC9">
            <w:pPr>
              <w:pStyle w:val="24"/>
              <w:snapToGrid w:val="0"/>
              <w:spacing w:line="360" w:lineRule="auto"/>
              <w:ind w:firstLine="0" w:firstLineChars="0"/>
              <w:rPr>
                <w:color w:val="auto"/>
                <w:szCs w:val="21"/>
              </w:rPr>
            </w:pPr>
            <w:r>
              <w:rPr>
                <w:color w:val="auto"/>
                <w:szCs w:val="21"/>
              </w:rPr>
              <w:t>3.</w:t>
            </w:r>
            <w:r>
              <w:rPr>
                <w:rFonts w:hint="eastAsia"/>
                <w:color w:val="auto"/>
                <w:szCs w:val="21"/>
              </w:rPr>
              <w:t>用户沟通意见；</w:t>
            </w:r>
          </w:p>
          <w:p w14:paraId="2A8AFCF6">
            <w:pPr>
              <w:pStyle w:val="24"/>
              <w:snapToGrid w:val="0"/>
              <w:spacing w:line="360" w:lineRule="auto"/>
              <w:ind w:firstLine="0" w:firstLineChars="0"/>
              <w:rPr>
                <w:color w:val="auto"/>
                <w:szCs w:val="21"/>
              </w:rPr>
            </w:pPr>
            <w:r>
              <w:rPr>
                <w:rFonts w:hint="eastAsia"/>
                <w:color w:val="auto"/>
                <w:szCs w:val="21"/>
              </w:rPr>
              <w:t>4</w:t>
            </w:r>
            <w:r>
              <w:rPr>
                <w:color w:val="auto"/>
                <w:szCs w:val="21"/>
              </w:rPr>
              <w:t>.</w:t>
            </w:r>
            <w:r>
              <w:rPr>
                <w:rFonts w:hint="eastAsia"/>
                <w:color w:val="auto"/>
                <w:szCs w:val="21"/>
              </w:rPr>
              <w:t>项目实体检查顺畅不受阻。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6895E4E">
            <w:pPr>
              <w:pStyle w:val="24"/>
              <w:snapToGrid w:val="0"/>
              <w:spacing w:line="360" w:lineRule="auto"/>
              <w:ind w:firstLine="0" w:firstLineChars="0"/>
              <w:rPr>
                <w:color w:val="auto"/>
                <w:szCs w:val="21"/>
              </w:rPr>
            </w:pPr>
            <w:r>
              <w:rPr>
                <w:rFonts w:hint="eastAsia"/>
                <w:color w:val="auto"/>
                <w:szCs w:val="21"/>
              </w:rPr>
              <w:t>1</w:t>
            </w:r>
            <w:r>
              <w:rPr>
                <w:color w:val="auto"/>
                <w:szCs w:val="21"/>
              </w:rPr>
              <w:t>.</w:t>
            </w:r>
            <w:r>
              <w:rPr>
                <w:rFonts w:hint="eastAsia"/>
                <w:color w:val="auto"/>
                <w:szCs w:val="21"/>
              </w:rPr>
              <w:t>项目施工主要人员均未到场(扣1-3分)</w:t>
            </w:r>
          </w:p>
          <w:p w14:paraId="2D5D4714">
            <w:pPr>
              <w:pStyle w:val="24"/>
              <w:snapToGrid w:val="0"/>
              <w:spacing w:line="360" w:lineRule="auto"/>
              <w:ind w:firstLine="0" w:firstLineChars="0"/>
              <w:rPr>
                <w:color w:val="auto"/>
                <w:szCs w:val="21"/>
              </w:rPr>
            </w:pPr>
            <w:r>
              <w:rPr>
                <w:rFonts w:hint="eastAsia"/>
                <w:color w:val="auto"/>
                <w:szCs w:val="21"/>
              </w:rPr>
              <w:t>2</w:t>
            </w:r>
            <w:r>
              <w:rPr>
                <w:color w:val="auto"/>
                <w:szCs w:val="21"/>
              </w:rPr>
              <w:t>.</w:t>
            </w:r>
            <w:r>
              <w:rPr>
                <w:rFonts w:hint="eastAsia"/>
                <w:color w:val="auto"/>
                <w:szCs w:val="21"/>
              </w:rPr>
              <w:t>资料准备无序不齐全(扣1-2分)；</w:t>
            </w:r>
          </w:p>
          <w:p w14:paraId="5ECB28C1">
            <w:pPr>
              <w:pStyle w:val="24"/>
              <w:snapToGrid w:val="0"/>
              <w:spacing w:line="360" w:lineRule="auto"/>
              <w:ind w:firstLine="0" w:firstLineChars="0"/>
              <w:rPr>
                <w:color w:val="auto"/>
                <w:szCs w:val="21"/>
              </w:rPr>
            </w:pPr>
            <w:r>
              <w:rPr>
                <w:rFonts w:hint="eastAsia"/>
                <w:color w:val="auto"/>
                <w:szCs w:val="21"/>
              </w:rPr>
              <w:t>3</w:t>
            </w:r>
            <w:r>
              <w:rPr>
                <w:color w:val="auto"/>
                <w:szCs w:val="21"/>
              </w:rPr>
              <w:t>.</w:t>
            </w:r>
            <w:r>
              <w:rPr>
                <w:rFonts w:hint="eastAsia"/>
                <w:color w:val="auto"/>
                <w:szCs w:val="21"/>
              </w:rPr>
              <w:t>总体印象不佳(扣1-5分)。</w:t>
            </w:r>
          </w:p>
          <w:p w14:paraId="4ECA960F">
            <w:pPr>
              <w:pStyle w:val="24"/>
              <w:snapToGrid w:val="0"/>
              <w:spacing w:line="360" w:lineRule="auto"/>
              <w:ind w:firstLine="0" w:firstLineChars="0"/>
              <w:rPr>
                <w:color w:val="auto"/>
                <w:szCs w:val="21"/>
              </w:rPr>
            </w:pPr>
            <w:r>
              <w:rPr>
                <w:rFonts w:hint="eastAsia"/>
                <w:color w:val="auto"/>
                <w:szCs w:val="21"/>
              </w:rPr>
              <w:t>4</w:t>
            </w:r>
            <w:r>
              <w:rPr>
                <w:color w:val="auto"/>
                <w:szCs w:val="21"/>
              </w:rPr>
              <w:t>.</w:t>
            </w:r>
            <w:r>
              <w:rPr>
                <w:rFonts w:hint="eastAsia"/>
                <w:color w:val="auto"/>
                <w:szCs w:val="21"/>
              </w:rPr>
              <w:t>其它不规范、不到位情况(每项扣0.5-1分)。</w:t>
            </w:r>
          </w:p>
        </w:tc>
        <w:tc>
          <w:tcPr>
            <w:tcW w:w="1701" w:type="dxa"/>
            <w:tcBorders>
              <w:left w:val="single" w:color="auto" w:sz="4" w:space="0"/>
              <w:right w:val="single" w:color="auto" w:sz="4" w:space="0"/>
            </w:tcBorders>
            <w:noWrap w:val="0"/>
            <w:vAlign w:val="center"/>
          </w:tcPr>
          <w:p w14:paraId="718358BE">
            <w:pPr>
              <w:pStyle w:val="24"/>
              <w:snapToGrid w:val="0"/>
              <w:spacing w:line="360" w:lineRule="auto"/>
              <w:ind w:firstLine="0" w:firstLineChars="0"/>
              <w:rPr>
                <w:color w:val="auto"/>
                <w:szCs w:val="21"/>
              </w:rPr>
            </w:pPr>
          </w:p>
        </w:tc>
        <w:tc>
          <w:tcPr>
            <w:tcW w:w="851" w:type="dxa"/>
            <w:tcBorders>
              <w:left w:val="single" w:color="auto" w:sz="4" w:space="0"/>
              <w:right w:val="single" w:color="auto" w:sz="4" w:space="0"/>
            </w:tcBorders>
            <w:noWrap w:val="0"/>
            <w:vAlign w:val="center"/>
          </w:tcPr>
          <w:p w14:paraId="3A9BCE7B">
            <w:pPr>
              <w:pStyle w:val="24"/>
              <w:snapToGrid w:val="0"/>
              <w:spacing w:line="360" w:lineRule="auto"/>
              <w:ind w:firstLine="0" w:firstLineChars="0"/>
              <w:rPr>
                <w:color w:val="auto"/>
                <w:szCs w:val="21"/>
              </w:rPr>
            </w:pPr>
            <w:r>
              <w:rPr>
                <w:rFonts w:hint="eastAsia"/>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F85790">
            <w:pPr>
              <w:pStyle w:val="2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rFonts w:hint="eastAsia"/>
                <w:color w:val="auto"/>
                <w:szCs w:val="21"/>
              </w:rPr>
              <w:t>查：</w:t>
            </w:r>
          </w:p>
          <w:p w14:paraId="631A3826">
            <w:pPr>
              <w:pStyle w:val="2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rFonts w:hint="eastAsia"/>
                <w:color w:val="auto"/>
                <w:szCs w:val="21"/>
              </w:rPr>
              <w:t>1</w:t>
            </w:r>
            <w:r>
              <w:rPr>
                <w:color w:val="auto"/>
                <w:szCs w:val="21"/>
              </w:rPr>
              <w:t>.</w:t>
            </w:r>
            <w:r>
              <w:rPr>
                <w:rFonts w:hint="eastAsia"/>
                <w:color w:val="auto"/>
                <w:szCs w:val="21"/>
              </w:rPr>
              <w:t>组织准备情况等；</w:t>
            </w:r>
          </w:p>
          <w:p w14:paraId="7612D47F">
            <w:pPr>
              <w:pStyle w:val="2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color w:val="auto"/>
                <w:szCs w:val="21"/>
              </w:rPr>
              <w:t>2.</w:t>
            </w:r>
            <w:r>
              <w:rPr>
                <w:rFonts w:hint="eastAsia"/>
                <w:color w:val="auto"/>
                <w:szCs w:val="21"/>
              </w:rPr>
              <w:t>PPT(项目概况、施工范围、重点难点亮点、施工过程中情况图片等,汇报时间10分钟内)；</w:t>
            </w:r>
          </w:p>
          <w:p w14:paraId="5F5D80E9">
            <w:pPr>
              <w:pStyle w:val="2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color w:val="auto"/>
                <w:szCs w:val="21"/>
              </w:rPr>
              <w:t>3.</w:t>
            </w:r>
            <w:r>
              <w:rPr>
                <w:rFonts w:hint="eastAsia"/>
                <w:color w:val="auto"/>
                <w:szCs w:val="21"/>
              </w:rPr>
              <w:t>用户意见；</w:t>
            </w:r>
          </w:p>
          <w:p w14:paraId="68755976">
            <w:pPr>
              <w:pStyle w:val="24"/>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auto"/>
                <w:szCs w:val="21"/>
              </w:rPr>
            </w:pPr>
            <w:r>
              <w:rPr>
                <w:rFonts w:hint="eastAsia"/>
                <w:color w:val="auto"/>
                <w:szCs w:val="21"/>
              </w:rPr>
              <w:t>4</w:t>
            </w:r>
            <w:r>
              <w:rPr>
                <w:color w:val="auto"/>
                <w:szCs w:val="21"/>
              </w:rPr>
              <w:t>.</w:t>
            </w:r>
            <w:r>
              <w:rPr>
                <w:rFonts w:hint="eastAsia"/>
                <w:color w:val="auto"/>
                <w:szCs w:val="21"/>
              </w:rPr>
              <w:t>人员、资料、过程安排准备情况。</w:t>
            </w:r>
          </w:p>
        </w:tc>
      </w:tr>
    </w:tbl>
    <w:p w14:paraId="1257B42A">
      <w:pPr>
        <w:jc w:val="left"/>
        <w:outlineLvl w:val="2"/>
        <w:rPr>
          <w:rFonts w:hint="eastAsia" w:ascii="黑体" w:hAnsi="黑体" w:eastAsia="黑体" w:cs="黑体"/>
          <w:sz w:val="32"/>
          <w:szCs w:val="32"/>
          <w:shd w:val="clear" w:color="auto" w:fill="FFFFFF"/>
        </w:rPr>
        <w:sectPr>
          <w:pgSz w:w="16838" w:h="11906" w:orient="landscape"/>
          <w:pgMar w:top="1587" w:right="1440" w:bottom="1247" w:left="1440" w:header="850" w:footer="992" w:gutter="0"/>
          <w:pgNumType w:fmt="numberInDash"/>
          <w:cols w:space="0" w:num="1"/>
          <w:rtlGutter w:val="0"/>
          <w:docGrid w:type="lines" w:linePitch="312" w:charSpace="0"/>
        </w:sectPr>
      </w:pPr>
      <w:bookmarkStart w:id="9" w:name="_Toc25210"/>
    </w:p>
    <w:bookmarkEnd w:id="9"/>
    <w:p w14:paraId="75ED560F">
      <w:pPr>
        <w:spacing w:line="324" w:lineRule="auto"/>
        <w:rPr>
          <w:rFonts w:hint="eastAsia" w:ascii="宋体" w:hAnsi="宋体"/>
          <w:bCs/>
          <w:sz w:val="32"/>
          <w:szCs w:val="32"/>
          <w:lang w:val="en-US" w:eastAsia="zh-CN"/>
        </w:rPr>
      </w:pPr>
      <w:bookmarkStart w:id="10" w:name="_GoBack"/>
      <w:bookmarkEnd w:id="10"/>
    </w:p>
    <w:sectPr>
      <w:headerReference r:id="rId4" w:type="default"/>
      <w:footerReference r:id="rId5" w:type="default"/>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FE5C3B-F33F-43B3-A6E8-6D0390C2BD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2" w:fontKey="{BC86464D-F4D8-48DD-99A0-6F607B59F47B}"/>
  </w:font>
  <w:font w:name="仿宋_GB2312">
    <w:panose1 w:val="02010609030101010101"/>
    <w:charset w:val="86"/>
    <w:family w:val="modern"/>
    <w:pitch w:val="default"/>
    <w:sig w:usb0="00000001" w:usb1="080E0000" w:usb2="00000000" w:usb3="00000000" w:csb0="00040000" w:csb1="00000000"/>
    <w:embedRegular r:id="rId3" w:fontKey="{522A802A-0007-4285-BC3F-987A220FD75D}"/>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C0C8">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377FEBE2">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- 29 -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FB3F3"/>
    <w:multiLevelType w:val="singleLevel"/>
    <w:tmpl w:val="3DEFB3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BC6E93"/>
    <w:rsid w:val="3DC42F13"/>
    <w:rsid w:val="3DC81F96"/>
    <w:rsid w:val="3DC951DC"/>
    <w:rsid w:val="3E850E1C"/>
    <w:rsid w:val="3F4C624D"/>
    <w:rsid w:val="3F7B0757"/>
    <w:rsid w:val="3F927066"/>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AAF4373"/>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C84E64"/>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10780</Words>
  <Characters>12485</Characters>
  <Lines>192</Lines>
  <Paragraphs>54</Paragraphs>
  <TotalTime>19</TotalTime>
  <ScaleCrop>false</ScaleCrop>
  <LinksUpToDate>false</LinksUpToDate>
  <CharactersWithSpaces>12487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2025-05-07T10:15:33Z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