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74E49">
      <w:pPr>
        <w:jc w:val="left"/>
        <w:outlineLvl w:val="2"/>
        <w:rPr>
          <w:rFonts w:hint="eastAsia" w:ascii="黑体" w:hAnsi="黑体" w:eastAsia="黑体" w:cs="黑体"/>
          <w:b/>
          <w:bCs/>
          <w:sz w:val="36"/>
          <w:szCs w:val="36"/>
          <w:shd w:val="clear" w:color="auto" w:fill="FFFFFF"/>
          <w:lang w:val="en-US" w:eastAsia="zh-CN"/>
        </w:rPr>
      </w:pPr>
      <w:bookmarkStart w:id="0" w:name="_Toc29090"/>
      <w:r>
        <w:rPr>
          <w:rFonts w:hint="eastAsia" w:ascii="黑体" w:hAnsi="黑体" w:eastAsia="黑体" w:cs="黑体"/>
          <w:b/>
          <w:bCs/>
          <w:sz w:val="36"/>
          <w:szCs w:val="36"/>
          <w:shd w:val="clear" w:color="auto" w:fill="FFFFFF"/>
        </w:rPr>
        <w:t>附件</w:t>
      </w:r>
      <w:bookmarkEnd w:id="0"/>
      <w:r>
        <w:rPr>
          <w:rFonts w:hint="eastAsia" w:ascii="黑体" w:hAnsi="黑体" w:eastAsia="黑体" w:cs="黑体"/>
          <w:b/>
          <w:bCs/>
          <w:sz w:val="36"/>
          <w:szCs w:val="36"/>
          <w:shd w:val="clear" w:color="auto" w:fill="FFFFFF"/>
          <w:lang w:val="en-US" w:eastAsia="zh-CN"/>
        </w:rPr>
        <w:t>4</w:t>
      </w:r>
    </w:p>
    <w:p w14:paraId="726E63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pacing w:val="-4"/>
          <w:sz w:val="36"/>
          <w:szCs w:val="36"/>
        </w:rPr>
      </w:pPr>
      <w:bookmarkStart w:id="1" w:name="_Toc15186"/>
      <w:r>
        <w:rPr>
          <w:rFonts w:hint="eastAsia" w:ascii="黑体" w:hAnsi="黑体" w:eastAsia="黑体" w:cs="黑体"/>
          <w:b/>
          <w:bCs/>
          <w:spacing w:val="-4"/>
          <w:sz w:val="36"/>
          <w:szCs w:val="36"/>
          <w:lang w:val="en-US" w:eastAsia="zh-CN"/>
        </w:rPr>
        <w:t>2025年度广西优质建筑装饰工程</w:t>
      </w:r>
      <w:r>
        <w:rPr>
          <w:rFonts w:hint="eastAsia" w:ascii="黑体" w:hAnsi="黑体" w:eastAsia="黑体" w:cs="黑体"/>
          <w:b/>
          <w:bCs/>
          <w:spacing w:val="-4"/>
          <w:sz w:val="36"/>
          <w:szCs w:val="36"/>
        </w:rPr>
        <w:t>复查实施细则</w:t>
      </w:r>
    </w:p>
    <w:p w14:paraId="306D0C1C">
      <w:pPr>
        <w:snapToGrid w:val="0"/>
        <w:spacing w:line="360" w:lineRule="auto"/>
        <w:jc w:val="center"/>
        <w:rPr>
          <w:rFonts w:hint="eastAsia" w:ascii="黑体" w:hAnsi="黑体" w:eastAsia="黑体" w:cs="黑体"/>
          <w:spacing w:val="-4"/>
          <w:sz w:val="30"/>
          <w:szCs w:val="30"/>
        </w:rPr>
      </w:pPr>
      <w:r>
        <w:rPr>
          <w:rFonts w:hint="eastAsia" w:ascii="黑体" w:hAnsi="黑体" w:eastAsia="黑体" w:cs="黑体"/>
          <w:spacing w:val="-4"/>
          <w:sz w:val="30"/>
          <w:szCs w:val="30"/>
          <w:lang w:eastAsia="zh-CN"/>
        </w:rPr>
        <w:t>（</w:t>
      </w:r>
      <w:r>
        <w:rPr>
          <w:rFonts w:hint="eastAsia" w:ascii="黑体" w:hAnsi="黑体" w:eastAsia="黑体" w:cs="黑体"/>
          <w:spacing w:val="-4"/>
          <w:sz w:val="30"/>
          <w:szCs w:val="30"/>
        </w:rPr>
        <w:t>公共建筑装饰类</w:t>
      </w:r>
      <w:r>
        <w:rPr>
          <w:rFonts w:hint="eastAsia" w:ascii="黑体" w:hAnsi="黑体" w:eastAsia="黑体" w:cs="黑体"/>
          <w:spacing w:val="-4"/>
          <w:sz w:val="30"/>
          <w:szCs w:val="30"/>
          <w:lang w:eastAsia="zh-CN"/>
        </w:rPr>
        <w:t>）[</w:t>
      </w:r>
      <w:r>
        <w:rPr>
          <w:rFonts w:hint="eastAsia" w:ascii="黑体" w:hAnsi="黑体" w:eastAsia="黑体" w:cs="黑体"/>
          <w:spacing w:val="-4"/>
          <w:sz w:val="30"/>
          <w:szCs w:val="30"/>
        </w:rPr>
        <w:t>古建文保工程]</w:t>
      </w:r>
    </w:p>
    <w:p w14:paraId="324F5146">
      <w:pPr>
        <w:snapToGrid w:val="0"/>
        <w:spacing w:line="360" w:lineRule="auto"/>
        <w:jc w:val="center"/>
        <w:rPr>
          <w:rFonts w:hint="eastAsia" w:asciiTheme="majorEastAsia" w:hAnsiTheme="majorEastAsia" w:eastAsiaTheme="majorEastAsia" w:cstheme="majorEastAsia"/>
          <w:spacing w:val="-4"/>
          <w:sz w:val="28"/>
          <w:szCs w:val="28"/>
        </w:rPr>
      </w:pPr>
    </w:p>
    <w:p w14:paraId="38CB3494">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Cs/>
          <w:sz w:val="24"/>
          <w:szCs w:val="24"/>
        </w:rPr>
      </w:pPr>
      <w:r>
        <w:rPr>
          <w:rFonts w:hint="eastAsia" w:ascii="宋体" w:hAnsi="宋体" w:eastAsia="宋体" w:cs="宋体"/>
          <w:b/>
          <w:bCs w:val="0"/>
          <w:sz w:val="24"/>
          <w:szCs w:val="24"/>
        </w:rPr>
        <w:t>评分标准及要求</w:t>
      </w:r>
      <w:r>
        <w:rPr>
          <w:rFonts w:hint="eastAsia" w:ascii="宋体" w:hAnsi="宋体" w:eastAsia="宋体" w:cs="宋体"/>
          <w:bCs/>
          <w:sz w:val="24"/>
          <w:szCs w:val="24"/>
        </w:rPr>
        <w:t>：</w:t>
      </w:r>
      <w:bookmarkEnd w:id="1"/>
    </w:p>
    <w:p w14:paraId="25559F1A">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color w:val="auto"/>
          <w:kern w:val="1"/>
          <w:sz w:val="24"/>
          <w:szCs w:val="24"/>
        </w:rPr>
        <w:t>所有申报的工程必须初审，初审合格，经过公示后的项目才能列入现场复查计划名单。</w:t>
      </w:r>
    </w:p>
    <w:p w14:paraId="154F7D5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古建文保分为仿古建筑和文保修缮工程合同金额或</w:t>
      </w:r>
      <w:r>
        <w:rPr>
          <w:rFonts w:hint="eastAsia" w:ascii="宋体" w:hAnsi="宋体" w:eastAsia="宋体" w:cs="宋体"/>
          <w:color w:val="auto"/>
          <w:sz w:val="24"/>
          <w:szCs w:val="24"/>
        </w:rPr>
        <w:t>结算金额不低于</w:t>
      </w:r>
      <w:r>
        <w:rPr>
          <w:rFonts w:hint="eastAsia" w:ascii="宋体" w:hAnsi="宋体" w:eastAsia="宋体" w:cs="宋体"/>
          <w:color w:val="auto"/>
          <w:sz w:val="24"/>
          <w:szCs w:val="24"/>
          <w:lang w:val="en-US" w:eastAsia="zh-CN"/>
        </w:rPr>
        <w:t>200</w:t>
      </w:r>
      <w:r>
        <w:rPr>
          <w:rFonts w:hint="eastAsia" w:ascii="宋体" w:hAnsi="宋体" w:eastAsia="宋体" w:cs="宋体"/>
          <w:color w:val="auto"/>
          <w:sz w:val="24"/>
          <w:szCs w:val="24"/>
        </w:rPr>
        <w:t>万</w:t>
      </w:r>
      <w:r>
        <w:rPr>
          <w:rFonts w:hint="eastAsia" w:ascii="宋体" w:hAnsi="宋体" w:eastAsia="宋体" w:cs="宋体"/>
          <w:sz w:val="24"/>
          <w:szCs w:val="24"/>
        </w:rPr>
        <w:t>元人民币（不含设备购置和安装费用）。</w:t>
      </w:r>
    </w:p>
    <w:p w14:paraId="23617DF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鉴于复查项目的工程性质、类别、规模、使用的材料、采用的工艺等各方面差别较大，故复查工程的评分采用扣分法，本细则重点列出了古建文保工程中工程资料、</w:t>
      </w:r>
      <w:r>
        <w:rPr>
          <w:rFonts w:hint="eastAsia" w:ascii="宋体" w:hAnsi="宋体" w:eastAsia="宋体" w:cs="宋体"/>
          <w:bCs/>
          <w:sz w:val="24"/>
          <w:szCs w:val="24"/>
        </w:rPr>
        <w:t>建筑外檐与室外工程</w:t>
      </w:r>
      <w:r>
        <w:rPr>
          <w:rFonts w:hint="eastAsia" w:ascii="宋体" w:hAnsi="宋体" w:eastAsia="宋体" w:cs="宋体"/>
          <w:sz w:val="24"/>
          <w:szCs w:val="24"/>
        </w:rPr>
        <w:t>、天花、墙柱面、地面工程、新技术、总体印象等几个方面的常见问题、质量通病和涉及安全与使用的问题，结合复查中查出的问题进行评分。项目复查总分为100分</w:t>
      </w:r>
      <w:r>
        <w:rPr>
          <w:rFonts w:hint="eastAsia" w:ascii="宋体" w:hAnsi="宋体" w:eastAsia="宋体" w:cs="宋体"/>
          <w:sz w:val="24"/>
          <w:szCs w:val="24"/>
          <w:lang w:eastAsia="zh-CN"/>
        </w:rPr>
        <w:t>。</w:t>
      </w:r>
      <w:r>
        <w:rPr>
          <w:rFonts w:hint="eastAsia" w:ascii="宋体" w:hAnsi="宋体" w:eastAsia="宋体" w:cs="宋体"/>
          <w:sz w:val="24"/>
          <w:szCs w:val="24"/>
        </w:rPr>
        <w:t>详细分项和评分标准见《工程复查实施细则——公共建筑装饰类（古建文保工程）》。</w:t>
      </w:r>
    </w:p>
    <w:p w14:paraId="4E169F0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表</w:t>
      </w:r>
      <w:r>
        <w:rPr>
          <w:rFonts w:hint="eastAsia" w:ascii="宋体" w:hAnsi="宋体" w:eastAsia="宋体" w:cs="宋体"/>
          <w:sz w:val="24"/>
          <w:szCs w:val="24"/>
        </w:rPr>
        <w:t>中所列均为工程复查的必查和主查内容，各复查小组可根据项目实际情况做必要的补充和调整，但必查内容不可取消。</w:t>
      </w:r>
    </w:p>
    <w:p w14:paraId="494AC52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复查评分严格按照各项要求及分值进行复查评分，并将各大项评分记录在申报表工程复查表中</w:t>
      </w:r>
      <w:r>
        <w:rPr>
          <w:rFonts w:hint="eastAsia" w:ascii="宋体" w:hAnsi="宋体" w:eastAsia="宋体" w:cs="宋体"/>
          <w:sz w:val="24"/>
          <w:szCs w:val="24"/>
          <w:lang w:eastAsia="zh-CN"/>
        </w:rPr>
        <w:t>，</w:t>
      </w:r>
      <w:r>
        <w:rPr>
          <w:rFonts w:hint="eastAsia" w:ascii="宋体" w:hAnsi="宋体" w:eastAsia="宋体" w:cs="宋体"/>
          <w:color w:val="auto"/>
          <w:kern w:val="1"/>
          <w:sz w:val="24"/>
          <w:szCs w:val="24"/>
        </w:rPr>
        <w:t>扣分应在复查记实栏中作详细说明。</w:t>
      </w:r>
    </w:p>
    <w:p w14:paraId="7298526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申报</w:t>
      </w:r>
      <w:r>
        <w:rPr>
          <w:rFonts w:hint="eastAsia" w:ascii="宋体" w:hAnsi="宋体" w:eastAsia="宋体" w:cs="宋体"/>
          <w:sz w:val="24"/>
          <w:szCs w:val="24"/>
        </w:rPr>
        <w:t>的古建文保建筑装饰项目，应有各地方行政主管部门对申报项目的确认文件、施工过程文件、竣工验收合格文件。</w:t>
      </w:r>
    </w:p>
    <w:p w14:paraId="7B6E508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申报单位需重视对工程安全隐患的排查及相关必要文件的准备，要求企业申报前对涉及安全、结构、隐蔽资料等方面的情况进行自查，使其符合相应的国家强制性规范和标准以及复查的要求。</w:t>
      </w:r>
    </w:p>
    <w:p w14:paraId="1C590CD6">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sz w:val="24"/>
          <w:szCs w:val="24"/>
        </w:rPr>
      </w:pPr>
      <w:bookmarkStart w:id="2" w:name="_Toc25884"/>
      <w:r>
        <w:rPr>
          <w:rFonts w:hint="eastAsia" w:ascii="宋体" w:hAnsi="宋体" w:eastAsia="宋体" w:cs="宋体"/>
          <w:b/>
          <w:bCs/>
          <w:sz w:val="24"/>
          <w:szCs w:val="24"/>
        </w:rPr>
        <w:t>二、申报项目的主要范围和复查重点</w:t>
      </w:r>
      <w:bookmarkEnd w:id="2"/>
    </w:p>
    <w:p w14:paraId="49CB05F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古建文保工程的复查重点应是中国古建筑的典型特征、工程的安全性、耐久性、防火、防雷、防蛀、防腐等重要特性，并应具有与其相适应的水、电、风等配置。</w:t>
      </w:r>
    </w:p>
    <w:p w14:paraId="3CC0AC66">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
          <w:bCs w:val="0"/>
          <w:sz w:val="24"/>
          <w:szCs w:val="24"/>
        </w:rPr>
      </w:pPr>
      <w:bookmarkStart w:id="3" w:name="_Toc23197"/>
      <w:r>
        <w:rPr>
          <w:rFonts w:hint="eastAsia" w:ascii="宋体" w:hAnsi="宋体" w:eastAsia="宋体" w:cs="宋体"/>
          <w:b/>
          <w:bCs w:val="0"/>
          <w:sz w:val="24"/>
          <w:szCs w:val="24"/>
        </w:rPr>
        <w:t>三、主要执行规范和标准：</w:t>
      </w:r>
      <w:bookmarkEnd w:id="3"/>
    </w:p>
    <w:p w14:paraId="5DE6EEB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1.《砌体结构设计规范》GB50003-2001</w:t>
      </w:r>
    </w:p>
    <w:p w14:paraId="48846B5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2.《木结构设计规范》GB50005-2017</w:t>
      </w:r>
    </w:p>
    <w:p w14:paraId="45E6A91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3.《建筑地面工程施工质量验收规范》GB50209-2010</w:t>
      </w:r>
    </w:p>
    <w:p w14:paraId="54D2B9B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4.《建筑装饰装修工程质量验收标准》GB50210-2018</w:t>
      </w:r>
    </w:p>
    <w:p w14:paraId="7685A51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5.《建筑内部装修设计防火规范》GB50222-2017</w:t>
      </w:r>
    </w:p>
    <w:p w14:paraId="380DC2C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6.《建筑工程施工质量验收统一标准》GB50300-2013</w:t>
      </w:r>
    </w:p>
    <w:p w14:paraId="03CAB20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7.《民用建筑工程室内环境污染控制标准》GB50325-2020</w:t>
      </w:r>
    </w:p>
    <w:p w14:paraId="666E02E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2"/>
        <w:rPr>
          <w:rFonts w:hint="eastAsia" w:ascii="宋体" w:hAnsi="宋体" w:eastAsia="宋体" w:cs="宋体"/>
          <w:sz w:val="24"/>
          <w:szCs w:val="24"/>
        </w:rPr>
      </w:pPr>
      <w:bookmarkStart w:id="4" w:name="_Toc19246"/>
      <w:r>
        <w:rPr>
          <w:rFonts w:hint="eastAsia" w:ascii="宋体" w:hAnsi="宋体" w:eastAsia="宋体" w:cs="宋体"/>
          <w:sz w:val="24"/>
          <w:szCs w:val="24"/>
        </w:rPr>
        <w:t>8.《民用建筑设计统一标准》GB50352-2019</w:t>
      </w:r>
      <w:bookmarkEnd w:id="4"/>
    </w:p>
    <w:p w14:paraId="488DFE8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9.《建筑内部装修防火施工及验收规范》GB50354-2005</w:t>
      </w:r>
    </w:p>
    <w:p w14:paraId="2101591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2"/>
        <w:rPr>
          <w:rFonts w:hint="eastAsia" w:ascii="宋体" w:hAnsi="宋体" w:eastAsia="宋体" w:cs="宋体"/>
          <w:sz w:val="24"/>
          <w:szCs w:val="24"/>
        </w:rPr>
      </w:pPr>
      <w:bookmarkStart w:id="5" w:name="_Toc18734"/>
      <w:r>
        <w:rPr>
          <w:rFonts w:hint="eastAsia" w:ascii="宋体" w:hAnsi="宋体" w:eastAsia="宋体" w:cs="宋体"/>
          <w:sz w:val="24"/>
          <w:szCs w:val="24"/>
        </w:rPr>
        <w:t>10.《古建筑防雷工程技术规程》GB51017-2014</w:t>
      </w:r>
      <w:bookmarkEnd w:id="5"/>
    </w:p>
    <w:p w14:paraId="2962EC7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11.《木结构通用规范》GB55005-2021（2022年1月1日起实施）</w:t>
      </w:r>
    </w:p>
    <w:p w14:paraId="57C10C3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12.《砌体结构通用规范》GB55007-2021（2022年1月1日起实施）</w:t>
      </w:r>
    </w:p>
    <w:p w14:paraId="6EB63C2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13.《古建筑木结构维护与加固技术标准》GB50165—2020</w:t>
      </w:r>
    </w:p>
    <w:p w14:paraId="7A15D69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14.《建筑防火封堵应用技术标准》GB/T51410—2020</w:t>
      </w:r>
    </w:p>
    <w:p w14:paraId="6B34AB7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2"/>
        <w:rPr>
          <w:rFonts w:hint="eastAsia" w:ascii="宋体" w:hAnsi="宋体" w:eastAsia="宋体" w:cs="宋体"/>
          <w:sz w:val="24"/>
          <w:szCs w:val="24"/>
        </w:rPr>
      </w:pPr>
      <w:bookmarkStart w:id="6" w:name="_Toc22338"/>
      <w:r>
        <w:rPr>
          <w:rFonts w:hint="eastAsia" w:ascii="宋体" w:hAnsi="宋体" w:eastAsia="宋体" w:cs="宋体"/>
          <w:sz w:val="24"/>
          <w:szCs w:val="24"/>
        </w:rPr>
        <w:t>15.《建筑玻璃应用技术规程》JGJ113-2015</w:t>
      </w:r>
      <w:bookmarkEnd w:id="6"/>
    </w:p>
    <w:p w14:paraId="64F5B03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16.《古建筑修建工程施工与质量验收规范》JGJ159-2008</w:t>
      </w:r>
    </w:p>
    <w:p w14:paraId="482DB8A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2"/>
        <w:rPr>
          <w:rFonts w:hint="eastAsia" w:ascii="宋体" w:hAnsi="宋体" w:eastAsia="宋体" w:cs="宋体"/>
          <w:sz w:val="24"/>
          <w:szCs w:val="24"/>
        </w:rPr>
      </w:pPr>
      <w:bookmarkStart w:id="7" w:name="_Toc28474"/>
      <w:r>
        <w:rPr>
          <w:rFonts w:hint="eastAsia" w:ascii="宋体" w:hAnsi="宋体" w:eastAsia="宋体" w:cs="宋体"/>
          <w:sz w:val="24"/>
          <w:szCs w:val="24"/>
        </w:rPr>
        <w:t>17.《建筑防护栏杆技术标准》JGJ/T470-2019</w:t>
      </w:r>
      <w:bookmarkEnd w:id="7"/>
    </w:p>
    <w:p w14:paraId="0045760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18.《历史建筑数字化技术标准》JGJ/T489-2021（2021年10月1日起实施）</w:t>
      </w:r>
    </w:p>
    <w:p w14:paraId="4DB6A02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2"/>
        <w:rPr>
          <w:rFonts w:hint="eastAsia" w:ascii="宋体" w:hAnsi="宋体" w:eastAsia="宋体" w:cs="宋体"/>
          <w:sz w:val="24"/>
          <w:szCs w:val="24"/>
        </w:rPr>
      </w:pPr>
      <w:bookmarkStart w:id="8" w:name="_Toc4454"/>
      <w:r>
        <w:rPr>
          <w:rFonts w:hint="eastAsia" w:ascii="宋体" w:hAnsi="宋体" w:eastAsia="宋体" w:cs="宋体"/>
          <w:sz w:val="24"/>
          <w:szCs w:val="24"/>
        </w:rPr>
        <w:t>19.《建筑装饰装修工程木质部品》T/CBDA4-2016</w:t>
      </w:r>
      <w:bookmarkEnd w:id="8"/>
    </w:p>
    <w:p w14:paraId="51C8F2E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20.《寺庙建筑装饰装修工程技术规程》T/CBDA10-2018</w:t>
      </w:r>
    </w:p>
    <w:p w14:paraId="6EE7E05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21.《建筑装饰装修机电末端综合布置技术规程》T/CBDA27-2019</w:t>
      </w:r>
    </w:p>
    <w:p w14:paraId="64127D9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22.《建筑室内安全玻璃工程技术规程》T/CBDA28-2019</w:t>
      </w:r>
    </w:p>
    <w:p w14:paraId="1A9A156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sectPr>
          <w:footerReference r:id="rId3" w:type="default"/>
          <w:pgSz w:w="11906" w:h="16838"/>
          <w:pgMar w:top="1440" w:right="1247" w:bottom="1440" w:left="1587" w:header="850" w:footer="992" w:gutter="0"/>
          <w:pgNumType w:fmt="numberInDash"/>
          <w:cols w:space="0" w:num="1"/>
          <w:rtlGutter w:val="0"/>
          <w:docGrid w:type="lines" w:linePitch="312" w:charSpace="0"/>
        </w:sectPr>
      </w:pPr>
      <w:r>
        <w:rPr>
          <w:rFonts w:hint="eastAsia" w:ascii="宋体" w:hAnsi="宋体" w:eastAsia="宋体" w:cs="宋体"/>
          <w:sz w:val="24"/>
          <w:szCs w:val="24"/>
        </w:rPr>
        <w:t>注：上文未列的标准、规范以国家、行业、团体现行标准、规范为准。</w:t>
      </w:r>
    </w:p>
    <w:p w14:paraId="7DCE9AFD">
      <w:pPr>
        <w:jc w:val="center"/>
        <w:outlineLvl w:val="1"/>
        <w:rPr>
          <w:b/>
          <w:bCs/>
          <w:sz w:val="10"/>
          <w:szCs w:val="10"/>
        </w:rPr>
      </w:pPr>
      <w:bookmarkStart w:id="9" w:name="_Toc6810"/>
      <w:r>
        <w:rPr>
          <w:rFonts w:hint="eastAsia" w:ascii="黑体" w:hAnsi="黑体" w:eastAsia="黑体"/>
          <w:b/>
          <w:bCs/>
          <w:sz w:val="30"/>
          <w:szCs w:val="30"/>
        </w:rPr>
        <w:t>四、工程复查实施细则</w:t>
      </w:r>
      <w:r>
        <w:rPr>
          <w:rFonts w:hint="eastAsia" w:ascii="宋体" w:hAnsi="宋体"/>
          <w:bCs/>
          <w:sz w:val="30"/>
          <w:szCs w:val="30"/>
        </w:rPr>
        <w:t>——公共建筑装饰类（古建文保工程）</w:t>
      </w:r>
      <w:bookmarkEnd w:id="9"/>
    </w:p>
    <w:p w14:paraId="7E651915">
      <w:pPr>
        <w:snapToGrid w:val="0"/>
        <w:spacing w:line="360" w:lineRule="auto"/>
        <w:outlineLvl w:val="2"/>
        <w:rPr>
          <w:rFonts w:hint="eastAsia" w:ascii="黑体" w:hAnsi="黑体" w:eastAsia="黑体" w:cs="黑体"/>
          <w:spacing w:val="-4"/>
          <w:sz w:val="32"/>
          <w:szCs w:val="32"/>
        </w:rPr>
      </w:pPr>
      <w:bookmarkStart w:id="10" w:name="_Toc26119"/>
    </w:p>
    <w:tbl>
      <w:tblPr>
        <w:tblStyle w:val="11"/>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4961"/>
        <w:gridCol w:w="2409"/>
        <w:gridCol w:w="1701"/>
        <w:gridCol w:w="851"/>
        <w:gridCol w:w="2268"/>
      </w:tblGrid>
      <w:tr w14:paraId="1BB8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14:paraId="35C3FABE">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AC4566D">
            <w:pPr>
              <w:snapToGrid w:val="0"/>
              <w:spacing w:line="288" w:lineRule="auto"/>
              <w:jc w:val="center"/>
              <w:rPr>
                <w:b/>
                <w:bCs/>
                <w:sz w:val="24"/>
              </w:rPr>
            </w:pPr>
            <w:r>
              <w:rPr>
                <w:rFonts w:hint="eastAsia"/>
                <w:b/>
                <w:bCs/>
                <w:sz w:val="24"/>
              </w:rPr>
              <w:t>复查项目</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D4901AB">
            <w:pPr>
              <w:snapToGrid w:val="0"/>
              <w:spacing w:line="288" w:lineRule="auto"/>
              <w:jc w:val="center"/>
              <w:rPr>
                <w:b/>
                <w:bCs/>
                <w:sz w:val="24"/>
              </w:rPr>
            </w:pPr>
            <w:r>
              <w:rPr>
                <w:rFonts w:hint="eastAsia"/>
                <w:b/>
                <w:bCs/>
                <w:sz w:val="24"/>
              </w:rPr>
              <w:t>复查内容</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02D3AA1">
            <w:pPr>
              <w:snapToGrid w:val="0"/>
              <w:spacing w:line="288" w:lineRule="auto"/>
              <w:jc w:val="center"/>
              <w:rPr>
                <w:b/>
                <w:bCs/>
                <w:sz w:val="24"/>
              </w:rPr>
            </w:pPr>
            <w:r>
              <w:rPr>
                <w:rFonts w:hint="eastAsia"/>
                <w:b/>
                <w:bCs/>
                <w:sz w:val="24"/>
              </w:rPr>
              <w:t>评分标准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9B7F63A">
            <w:pPr>
              <w:snapToGrid w:val="0"/>
              <w:spacing w:line="288" w:lineRule="auto"/>
              <w:jc w:val="center"/>
              <w:rPr>
                <w:b/>
                <w:bCs/>
                <w:sz w:val="24"/>
              </w:rPr>
            </w:pPr>
            <w:r>
              <w:rPr>
                <w:b/>
                <w:bCs/>
                <w:sz w:val="24"/>
              </w:rPr>
              <w:t>备注</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7A5DFCC">
            <w:pPr>
              <w:snapToGrid w:val="0"/>
              <w:spacing w:line="288" w:lineRule="auto"/>
              <w:jc w:val="center"/>
              <w:rPr>
                <w:b/>
                <w:bCs/>
                <w:sz w:val="24"/>
              </w:rPr>
            </w:pPr>
            <w:r>
              <w:rPr>
                <w:rFonts w:hint="eastAsia"/>
                <w:b/>
                <w:bCs/>
                <w:sz w:val="24"/>
              </w:rPr>
              <w:t>分值</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7FD9BB5">
            <w:pPr>
              <w:snapToGrid w:val="0"/>
              <w:spacing w:line="288" w:lineRule="auto"/>
              <w:jc w:val="center"/>
              <w:rPr>
                <w:b/>
                <w:bCs/>
                <w:sz w:val="24"/>
              </w:rPr>
            </w:pPr>
            <w:r>
              <w:rPr>
                <w:rFonts w:hint="eastAsia"/>
                <w:b/>
                <w:bCs/>
                <w:sz w:val="24"/>
              </w:rPr>
              <w:t>复查方法</w:t>
            </w:r>
          </w:p>
        </w:tc>
      </w:tr>
      <w:tr w14:paraId="28D4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trPr>
        <w:tc>
          <w:tcPr>
            <w:tcW w:w="567" w:type="dxa"/>
            <w:vMerge w:val="restart"/>
            <w:tcBorders>
              <w:top w:val="single" w:color="auto" w:sz="4" w:space="0"/>
              <w:left w:val="single" w:color="auto" w:sz="4" w:space="0"/>
              <w:right w:val="single" w:color="auto" w:sz="4" w:space="0"/>
            </w:tcBorders>
            <w:noWrap w:val="0"/>
            <w:vAlign w:val="center"/>
          </w:tcPr>
          <w:p w14:paraId="1E15B262">
            <w:pPr>
              <w:snapToGrid w:val="0"/>
              <w:spacing w:line="288" w:lineRule="auto"/>
              <w:jc w:val="center"/>
              <w:rPr>
                <w:rFonts w:ascii="宋体" w:hAnsi="宋体"/>
                <w:szCs w:val="21"/>
              </w:rPr>
            </w:pPr>
            <w:r>
              <w:rPr>
                <w:rFonts w:ascii="宋体" w:hAnsi="宋体"/>
                <w:szCs w:val="21"/>
              </w:rPr>
              <w:t>1</w:t>
            </w:r>
          </w:p>
        </w:tc>
        <w:tc>
          <w:tcPr>
            <w:tcW w:w="1277" w:type="dxa"/>
            <w:vMerge w:val="restart"/>
            <w:tcBorders>
              <w:top w:val="single" w:color="auto" w:sz="4" w:space="0"/>
              <w:left w:val="single" w:color="auto" w:sz="4" w:space="0"/>
              <w:right w:val="single" w:color="auto" w:sz="4" w:space="0"/>
            </w:tcBorders>
            <w:noWrap w:val="0"/>
            <w:vAlign w:val="center"/>
          </w:tcPr>
          <w:p w14:paraId="66FBB5CF">
            <w:pPr>
              <w:snapToGrid w:val="0"/>
              <w:spacing w:line="240" w:lineRule="exact"/>
              <w:jc w:val="center"/>
              <w:rPr>
                <w:rFonts w:ascii="宋体" w:hAnsi="宋体"/>
                <w:szCs w:val="21"/>
              </w:rPr>
            </w:pPr>
            <w:r>
              <w:rPr>
                <w:rFonts w:hint="eastAsia" w:ascii="宋体" w:hAnsi="宋体"/>
                <w:szCs w:val="21"/>
              </w:rPr>
              <w:t>资料</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8104ABF">
            <w:pPr>
              <w:snapToGrid w:val="0"/>
              <w:spacing w:line="276" w:lineRule="auto"/>
              <w:rPr>
                <w:rFonts w:ascii="黑体" w:hAnsi="黑体" w:eastAsia="黑体"/>
                <w:szCs w:val="21"/>
              </w:rPr>
            </w:pPr>
            <w:r>
              <w:rPr>
                <w:rFonts w:hint="eastAsia" w:ascii="黑体" w:hAnsi="黑体" w:eastAsia="黑体"/>
                <w:szCs w:val="21"/>
              </w:rPr>
              <w:t>必要文件：</w:t>
            </w:r>
          </w:p>
          <w:p w14:paraId="334E9535">
            <w:pPr>
              <w:pStyle w:val="24"/>
              <w:snapToGrid w:val="0"/>
              <w:spacing w:line="276"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企业营业执照、资质等级证书、安全生产许可证（此三项上一年度参评的单位可提供在有效期内的加盖本单位公章的复印件）；</w:t>
            </w:r>
          </w:p>
          <w:p w14:paraId="0438FB91">
            <w:pPr>
              <w:pStyle w:val="24"/>
              <w:snapToGrid w:val="0"/>
              <w:spacing w:line="276"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项目经理注册建造师证书、安全考核证合格证书；</w:t>
            </w:r>
          </w:p>
          <w:p w14:paraId="1FAD6A86">
            <w:pPr>
              <w:pStyle w:val="24"/>
              <w:snapToGrid w:val="0"/>
              <w:spacing w:line="276"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施工合同（合同金额达到申报条件）；</w:t>
            </w:r>
          </w:p>
          <w:p w14:paraId="1AE91B25">
            <w:pPr>
              <w:pStyle w:val="24"/>
              <w:snapToGrid w:val="0"/>
              <w:spacing w:line="276" w:lineRule="auto"/>
              <w:ind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文保修缮：文物管理部门施工许可文件；</w:t>
            </w:r>
          </w:p>
          <w:p w14:paraId="37080BE5">
            <w:pPr>
              <w:pStyle w:val="24"/>
              <w:snapToGrid w:val="0"/>
              <w:spacing w:line="276" w:lineRule="auto"/>
              <w:ind w:firstLine="0" w:firstLineChars="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仿古建筑：住建系统建筑工程施工许可证；</w:t>
            </w:r>
          </w:p>
          <w:p w14:paraId="20EE6BFF">
            <w:pPr>
              <w:pStyle w:val="24"/>
              <w:snapToGrid w:val="0"/>
              <w:spacing w:line="276" w:lineRule="auto"/>
              <w:ind w:firstLine="0" w:firstLineChars="0"/>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工程结算报告或结算金额证明；</w:t>
            </w:r>
          </w:p>
          <w:p w14:paraId="4D24DEA7">
            <w:pPr>
              <w:pStyle w:val="24"/>
              <w:snapToGrid w:val="0"/>
              <w:spacing w:line="276" w:lineRule="auto"/>
              <w:ind w:firstLine="0" w:firstLineChars="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工程竣工验收文件；</w:t>
            </w:r>
          </w:p>
          <w:p w14:paraId="42B59FDD">
            <w:pPr>
              <w:pStyle w:val="24"/>
              <w:snapToGrid w:val="0"/>
              <w:spacing w:line="276" w:lineRule="auto"/>
              <w:ind w:firstLine="0" w:firstLineChars="0"/>
              <w:rPr>
                <w:rFonts w:hint="eastAsia" w:ascii="宋体" w:hAnsi="宋体"/>
                <w:szCs w:val="21"/>
              </w:rPr>
            </w:pPr>
            <w:r>
              <w:rPr>
                <w:rFonts w:hint="eastAsia" w:ascii="宋体" w:hAnsi="宋体"/>
                <w:szCs w:val="21"/>
              </w:rPr>
              <w:t>8</w:t>
            </w:r>
            <w:r>
              <w:rPr>
                <w:rFonts w:ascii="宋体" w:hAnsi="宋体"/>
                <w:szCs w:val="21"/>
              </w:rPr>
              <w:t>.</w:t>
            </w:r>
            <w:r>
              <w:rPr>
                <w:rFonts w:hint="eastAsia" w:ascii="宋体" w:hAnsi="宋体"/>
                <w:szCs w:val="21"/>
              </w:rPr>
              <w:t>消防验收或备案文件（文保修缮除外）。</w:t>
            </w:r>
          </w:p>
        </w:tc>
        <w:tc>
          <w:tcPr>
            <w:tcW w:w="2409" w:type="dxa"/>
            <w:tcBorders>
              <w:top w:val="single" w:color="auto" w:sz="4" w:space="0"/>
              <w:left w:val="single" w:color="auto" w:sz="4" w:space="0"/>
              <w:right w:val="single" w:color="auto" w:sz="4" w:space="0"/>
            </w:tcBorders>
            <w:noWrap w:val="0"/>
            <w:vAlign w:val="center"/>
          </w:tcPr>
          <w:p w14:paraId="2F067105">
            <w:pPr>
              <w:pStyle w:val="24"/>
              <w:snapToGrid w:val="0"/>
              <w:spacing w:line="288" w:lineRule="auto"/>
              <w:ind w:firstLine="0" w:firstLineChars="0"/>
              <w:jc w:val="left"/>
              <w:rPr>
                <w:rFonts w:hint="eastAsia" w:ascii="宋体" w:hAnsi="宋体"/>
                <w:szCs w:val="21"/>
              </w:rPr>
            </w:pPr>
            <w:r>
              <w:rPr>
                <w:rFonts w:hint="eastAsia" w:ascii="宋体" w:hAnsi="宋体"/>
                <w:szCs w:val="21"/>
              </w:rPr>
              <w:t>必要文件有一项不合格或不符合要求者不予评审。</w:t>
            </w:r>
          </w:p>
        </w:tc>
        <w:tc>
          <w:tcPr>
            <w:tcW w:w="1701" w:type="dxa"/>
            <w:vMerge w:val="restart"/>
            <w:tcBorders>
              <w:top w:val="single" w:color="auto" w:sz="4" w:space="0"/>
              <w:left w:val="single" w:color="auto" w:sz="4" w:space="0"/>
              <w:right w:val="single" w:color="auto" w:sz="4" w:space="0"/>
            </w:tcBorders>
            <w:noWrap w:val="0"/>
            <w:vAlign w:val="center"/>
          </w:tcPr>
          <w:p w14:paraId="708AEB4B">
            <w:pPr>
              <w:snapToGrid w:val="0"/>
              <w:spacing w:line="288" w:lineRule="auto"/>
              <w:jc w:val="left"/>
              <w:rPr>
                <w:rFonts w:ascii="宋体" w:hAnsi="宋体"/>
                <w:szCs w:val="21"/>
              </w:rPr>
            </w:pPr>
            <w:r>
              <w:rPr>
                <w:rFonts w:hint="eastAsia" w:ascii="宋体" w:hAnsi="宋体"/>
                <w:szCs w:val="21"/>
              </w:rPr>
              <w:t>1.必要文件应为原件或可网查的电子文件打印件并加盖申报单位鲜章。</w:t>
            </w:r>
          </w:p>
          <w:p w14:paraId="7163F8AD">
            <w:pPr>
              <w:snapToGrid w:val="0"/>
              <w:spacing w:line="288" w:lineRule="auto"/>
              <w:jc w:val="left"/>
              <w:rPr>
                <w:rFonts w:ascii="宋体" w:hAnsi="宋体"/>
                <w:szCs w:val="21"/>
              </w:rPr>
            </w:pPr>
            <w:r>
              <w:rPr>
                <w:rFonts w:ascii="宋体" w:hAnsi="宋体"/>
                <w:szCs w:val="21"/>
              </w:rPr>
              <w:t>2</w:t>
            </w:r>
            <w:r>
              <w:rPr>
                <w:rFonts w:hint="eastAsia" w:ascii="宋体" w:hAnsi="宋体"/>
                <w:szCs w:val="21"/>
              </w:rPr>
              <w:t>.涉及工程质量安全的重点部位、重要节点为必查项</w:t>
            </w:r>
          </w:p>
          <w:p w14:paraId="1DAE87CB">
            <w:pPr>
              <w:snapToGrid w:val="0"/>
              <w:spacing w:line="288" w:lineRule="auto"/>
              <w:jc w:val="left"/>
              <w:rPr>
                <w:rFonts w:hint="eastAsia" w:ascii="宋体" w:hAnsi="宋体"/>
                <w:szCs w:val="21"/>
              </w:rPr>
            </w:pPr>
            <w:r>
              <w:rPr>
                <w:rFonts w:ascii="宋体" w:hAnsi="宋体"/>
                <w:szCs w:val="21"/>
              </w:rPr>
              <w:t>3</w:t>
            </w:r>
            <w:r>
              <w:rPr>
                <w:rFonts w:hint="eastAsia" w:ascii="宋体" w:hAnsi="宋体"/>
                <w:szCs w:val="21"/>
              </w:rPr>
              <w:t>.室内环境质量检测报告（如涉及），需由政府行政部门认可的检测机构出具。</w:t>
            </w:r>
          </w:p>
        </w:tc>
        <w:tc>
          <w:tcPr>
            <w:tcW w:w="851" w:type="dxa"/>
            <w:vMerge w:val="restart"/>
            <w:tcBorders>
              <w:top w:val="single" w:color="auto" w:sz="4" w:space="0"/>
              <w:left w:val="single" w:color="auto" w:sz="4" w:space="0"/>
              <w:right w:val="single" w:color="auto" w:sz="4" w:space="0"/>
            </w:tcBorders>
            <w:noWrap w:val="0"/>
            <w:vAlign w:val="center"/>
          </w:tcPr>
          <w:p w14:paraId="07711AF5">
            <w:pPr>
              <w:snapToGrid w:val="0"/>
              <w:spacing w:line="288" w:lineRule="auto"/>
              <w:jc w:val="center"/>
              <w:rPr>
                <w:rFonts w:ascii="宋体" w:hAnsi="宋体"/>
                <w:szCs w:val="21"/>
              </w:rPr>
            </w:pPr>
            <w:r>
              <w:rPr>
                <w:rFonts w:hint="eastAsia" w:ascii="宋体" w:hAnsi="宋体"/>
                <w:szCs w:val="21"/>
              </w:rPr>
              <w:t>20分</w:t>
            </w:r>
          </w:p>
        </w:tc>
        <w:tc>
          <w:tcPr>
            <w:tcW w:w="2268" w:type="dxa"/>
            <w:tcBorders>
              <w:top w:val="single" w:color="auto" w:sz="4" w:space="0"/>
              <w:left w:val="single" w:color="auto" w:sz="4" w:space="0"/>
              <w:right w:val="single" w:color="auto" w:sz="4" w:space="0"/>
            </w:tcBorders>
            <w:noWrap w:val="0"/>
            <w:vAlign w:val="center"/>
          </w:tcPr>
          <w:p w14:paraId="7D686DCA">
            <w:pPr>
              <w:snapToGrid w:val="0"/>
              <w:spacing w:line="276" w:lineRule="auto"/>
              <w:rPr>
                <w:rFonts w:ascii="宋体" w:hAnsi="宋体"/>
                <w:szCs w:val="21"/>
              </w:rPr>
            </w:pPr>
            <w:r>
              <w:rPr>
                <w:rFonts w:hint="eastAsia" w:ascii="宋体" w:hAnsi="宋体"/>
                <w:szCs w:val="21"/>
              </w:rPr>
              <w:t>查：相关文件资料原件或电子证件（提供网查链接）；</w:t>
            </w:r>
          </w:p>
          <w:p w14:paraId="1BA61F12">
            <w:pPr>
              <w:snapToGrid w:val="0"/>
              <w:spacing w:line="276" w:lineRule="auto"/>
              <w:rPr>
                <w:rFonts w:ascii="宋体" w:hAnsi="宋体"/>
                <w:szCs w:val="21"/>
              </w:rPr>
            </w:pPr>
            <w:r>
              <w:rPr>
                <w:rFonts w:hint="eastAsia" w:ascii="宋体" w:hAnsi="宋体"/>
                <w:szCs w:val="21"/>
              </w:rPr>
              <w:t>原件已存入城建档案馆或城建档案管理机构的可提供由档案馆或城建档案管理机构出具的加盖出具单位和申报单位鲜章并注明“原件存于X</w:t>
            </w:r>
            <w:r>
              <w:rPr>
                <w:rFonts w:ascii="宋体" w:hAnsi="宋体"/>
                <w:szCs w:val="21"/>
              </w:rPr>
              <w:t>XX</w:t>
            </w:r>
            <w:r>
              <w:rPr>
                <w:rFonts w:hint="eastAsia" w:ascii="宋体" w:hAnsi="宋体"/>
                <w:szCs w:val="21"/>
              </w:rPr>
              <w:t>，复印件与原件相同”字样的复印件。</w:t>
            </w:r>
          </w:p>
        </w:tc>
      </w:tr>
      <w:tr w14:paraId="213B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67" w:type="dxa"/>
            <w:vMerge w:val="continue"/>
            <w:tcBorders>
              <w:left w:val="single" w:color="auto" w:sz="4" w:space="0"/>
              <w:right w:val="single" w:color="auto" w:sz="4" w:space="0"/>
            </w:tcBorders>
            <w:noWrap w:val="0"/>
            <w:vAlign w:val="center"/>
          </w:tcPr>
          <w:p w14:paraId="54920B2D">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4B236387">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1A15ACD4">
            <w:pPr>
              <w:snapToGrid w:val="0"/>
              <w:spacing w:line="276" w:lineRule="auto"/>
              <w:rPr>
                <w:b/>
                <w:bCs/>
                <w:szCs w:val="21"/>
              </w:rPr>
            </w:pPr>
            <w:r>
              <w:rPr>
                <w:rFonts w:hint="eastAsia"/>
                <w:b/>
                <w:bCs/>
                <w:szCs w:val="21"/>
              </w:rPr>
              <w:t>工程安全证明资料：</w:t>
            </w:r>
          </w:p>
          <w:p w14:paraId="20D2CC38">
            <w:pPr>
              <w:snapToGrid w:val="0"/>
              <w:spacing w:line="276" w:lineRule="auto"/>
              <w:rPr>
                <w:rFonts w:hint="eastAsia" w:eastAsia="宋体"/>
                <w:szCs w:val="21"/>
                <w:lang w:eastAsia="zh-CN"/>
              </w:rPr>
            </w:pPr>
            <w:r>
              <w:rPr>
                <w:rFonts w:hint="eastAsia"/>
                <w:szCs w:val="21"/>
              </w:rPr>
              <w:t>1</w:t>
            </w:r>
            <w:r>
              <w:rPr>
                <w:szCs w:val="21"/>
              </w:rPr>
              <w:t>.</w:t>
            </w:r>
            <w:r>
              <w:rPr>
                <w:rFonts w:hint="eastAsia"/>
                <w:szCs w:val="21"/>
              </w:rPr>
              <w:t>涉及主体和承重结构改动或增加荷载时，必须提供经结构设计单位认可的文件（需审查原件）</w:t>
            </w:r>
            <w:r>
              <w:rPr>
                <w:rFonts w:hint="eastAsia"/>
                <w:szCs w:val="21"/>
                <w:lang w:eastAsia="zh-CN"/>
              </w:rPr>
              <w:t>；</w:t>
            </w:r>
          </w:p>
          <w:p w14:paraId="3EF2157A">
            <w:pPr>
              <w:snapToGrid w:val="0"/>
              <w:spacing w:line="276" w:lineRule="auto"/>
              <w:rPr>
                <w:rFonts w:hint="eastAsia" w:eastAsia="宋体"/>
                <w:szCs w:val="21"/>
                <w:lang w:eastAsia="zh-CN"/>
              </w:rPr>
            </w:pPr>
            <w:r>
              <w:rPr>
                <w:rFonts w:hint="eastAsia"/>
                <w:szCs w:val="21"/>
              </w:rPr>
              <w:t>2</w:t>
            </w:r>
            <w:r>
              <w:rPr>
                <w:szCs w:val="21"/>
              </w:rPr>
              <w:t>.</w:t>
            </w:r>
            <w:r>
              <w:rPr>
                <w:rFonts w:hint="eastAsia"/>
                <w:szCs w:val="21"/>
              </w:rPr>
              <w:t>大型吊灯或天花大型悬挂物安装的荷载试验和相关隐蔽资料、构架节点图</w:t>
            </w:r>
            <w:r>
              <w:rPr>
                <w:rFonts w:hint="eastAsia"/>
                <w:szCs w:val="21"/>
                <w:lang w:eastAsia="zh-CN"/>
              </w:rPr>
              <w:t>；</w:t>
            </w:r>
          </w:p>
          <w:p w14:paraId="09F74F7E">
            <w:pPr>
              <w:snapToGrid w:val="0"/>
              <w:spacing w:line="276" w:lineRule="auto"/>
              <w:rPr>
                <w:rFonts w:hint="eastAsia" w:eastAsia="宋体"/>
                <w:szCs w:val="21"/>
                <w:lang w:eastAsia="zh-CN"/>
              </w:rPr>
            </w:pPr>
            <w:r>
              <w:rPr>
                <w:rFonts w:hint="eastAsia"/>
                <w:szCs w:val="21"/>
              </w:rPr>
              <w:t>3</w:t>
            </w:r>
            <w:r>
              <w:rPr>
                <w:szCs w:val="21"/>
              </w:rPr>
              <w:t>.</w:t>
            </w:r>
            <w:r>
              <w:rPr>
                <w:rFonts w:hint="eastAsia"/>
                <w:szCs w:val="21"/>
              </w:rPr>
              <w:t>室内石材墙柱面干挂节点图、拉拔试验报告及其材料合格证、检测报告、隐蔽验收记录等</w:t>
            </w:r>
            <w:r>
              <w:rPr>
                <w:rFonts w:hint="eastAsia"/>
                <w:szCs w:val="21"/>
                <w:lang w:eastAsia="zh-CN"/>
              </w:rPr>
              <w:t>。</w:t>
            </w:r>
          </w:p>
        </w:tc>
        <w:tc>
          <w:tcPr>
            <w:tcW w:w="2409" w:type="dxa"/>
            <w:tcBorders>
              <w:left w:val="single" w:color="auto" w:sz="4" w:space="0"/>
              <w:bottom w:val="single" w:color="auto" w:sz="4" w:space="0"/>
              <w:right w:val="single" w:color="auto" w:sz="4" w:space="0"/>
            </w:tcBorders>
            <w:noWrap w:val="0"/>
            <w:vAlign w:val="center"/>
          </w:tcPr>
          <w:p w14:paraId="51EF8FEB">
            <w:pPr>
              <w:pStyle w:val="24"/>
              <w:snapToGrid w:val="0"/>
              <w:spacing w:line="288" w:lineRule="auto"/>
              <w:ind w:firstLine="0" w:firstLineChars="0"/>
              <w:jc w:val="left"/>
              <w:rPr>
                <w:rFonts w:hint="eastAsia" w:ascii="宋体" w:hAnsi="宋体" w:eastAsia="宋体" w:cs="Times New Roman"/>
                <w:b w:val="0"/>
                <w:bCs w:val="0"/>
                <w:sz w:val="21"/>
                <w:szCs w:val="21"/>
              </w:rPr>
            </w:pPr>
            <w:r>
              <w:rPr>
                <w:rFonts w:hint="eastAsia" w:ascii="宋体" w:hAnsi="宋体" w:eastAsia="宋体" w:cs="Times New Roman"/>
                <w:b w:val="0"/>
                <w:bCs w:val="0"/>
                <w:sz w:val="21"/>
                <w:szCs w:val="21"/>
              </w:rPr>
              <w:t>1.工程安全证明资料第一项不符合的扣</w:t>
            </w:r>
            <w:r>
              <w:rPr>
                <w:rFonts w:hint="eastAsia" w:ascii="宋体" w:hAnsi="宋体" w:eastAsia="宋体" w:cs="Times New Roman"/>
                <w:b w:val="0"/>
                <w:bCs w:val="0"/>
                <w:sz w:val="21"/>
                <w:szCs w:val="21"/>
                <w:lang w:val="en-US" w:eastAsia="zh-CN"/>
              </w:rPr>
              <w:t>1</w:t>
            </w:r>
            <w:r>
              <w:rPr>
                <w:rFonts w:hint="eastAsia" w:ascii="宋体" w:hAnsi="宋体" w:eastAsia="宋体" w:cs="Times New Roman"/>
                <w:b w:val="0"/>
                <w:bCs w:val="0"/>
                <w:sz w:val="21"/>
                <w:szCs w:val="21"/>
              </w:rPr>
              <w:t>0分</w:t>
            </w:r>
            <w:r>
              <w:rPr>
                <w:rFonts w:hint="eastAsia" w:ascii="宋体" w:hAnsi="宋体" w:cs="Times New Roman"/>
                <w:b w:val="0"/>
                <w:bCs w:val="0"/>
                <w:sz w:val="21"/>
                <w:szCs w:val="21"/>
                <w:lang w:eastAsia="zh-CN"/>
              </w:rPr>
              <w:t>；</w:t>
            </w:r>
          </w:p>
          <w:p w14:paraId="3E459E2C">
            <w:pPr>
              <w:pStyle w:val="24"/>
              <w:spacing w:line="288" w:lineRule="auto"/>
              <w:ind w:firstLine="0" w:firstLineChars="0"/>
              <w:jc w:val="left"/>
              <w:rPr>
                <w:rFonts w:ascii="宋体" w:hAnsi="宋体"/>
                <w:szCs w:val="21"/>
              </w:rPr>
            </w:pPr>
            <w:r>
              <w:rPr>
                <w:rFonts w:hint="eastAsia" w:ascii="宋体" w:hAnsi="宋体" w:eastAsia="宋体" w:cs="Times New Roman"/>
                <w:b w:val="0"/>
                <w:bCs w:val="0"/>
                <w:sz w:val="21"/>
                <w:szCs w:val="21"/>
              </w:rPr>
              <w:t>2.其他项不符合的每项扣</w:t>
            </w:r>
            <w:r>
              <w:rPr>
                <w:rFonts w:hint="eastAsia" w:ascii="宋体" w:hAnsi="宋体" w:eastAsia="宋体" w:cs="Times New Roman"/>
                <w:b w:val="0"/>
                <w:bCs w:val="0"/>
                <w:sz w:val="21"/>
                <w:szCs w:val="21"/>
                <w:lang w:val="en-US" w:eastAsia="zh-CN"/>
              </w:rPr>
              <w:t>2</w:t>
            </w:r>
            <w:r>
              <w:rPr>
                <w:rFonts w:hint="eastAsia" w:ascii="宋体" w:hAnsi="宋体" w:eastAsia="宋体" w:cs="Times New Roman"/>
                <w:b w:val="0"/>
                <w:bCs w:val="0"/>
                <w:sz w:val="21"/>
                <w:szCs w:val="21"/>
              </w:rPr>
              <w:t>分。</w:t>
            </w:r>
          </w:p>
        </w:tc>
        <w:tc>
          <w:tcPr>
            <w:tcW w:w="1701" w:type="dxa"/>
            <w:vMerge w:val="continue"/>
            <w:tcBorders>
              <w:left w:val="single" w:color="auto" w:sz="4" w:space="0"/>
              <w:right w:val="single" w:color="auto" w:sz="4" w:space="0"/>
            </w:tcBorders>
            <w:noWrap w:val="0"/>
            <w:vAlign w:val="center"/>
          </w:tcPr>
          <w:p w14:paraId="23D9E01C">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46881877">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4E0936F">
            <w:pPr>
              <w:snapToGrid w:val="0"/>
              <w:spacing w:line="276" w:lineRule="auto"/>
              <w:rPr>
                <w:rFonts w:ascii="宋体" w:hAnsi="宋体"/>
                <w:szCs w:val="21"/>
              </w:rPr>
            </w:pPr>
            <w:r>
              <w:rPr>
                <w:rFonts w:hint="eastAsia" w:ascii="宋体" w:hAnsi="宋体"/>
                <w:szCs w:val="21"/>
              </w:rPr>
              <w:t>结合工程实体查资料</w:t>
            </w:r>
          </w:p>
        </w:tc>
      </w:tr>
      <w:tr w14:paraId="185A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67" w:type="dxa"/>
            <w:vMerge w:val="continue"/>
            <w:tcBorders>
              <w:left w:val="single" w:color="auto" w:sz="4" w:space="0"/>
              <w:right w:val="single" w:color="auto" w:sz="4" w:space="0"/>
            </w:tcBorders>
            <w:noWrap w:val="0"/>
            <w:vAlign w:val="center"/>
          </w:tcPr>
          <w:p w14:paraId="12EA842A">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298CA48F">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553BED2">
            <w:pPr>
              <w:snapToGrid w:val="0"/>
              <w:spacing w:line="360" w:lineRule="auto"/>
              <w:rPr>
                <w:rFonts w:ascii="黑体" w:hAnsi="黑体" w:eastAsia="黑体"/>
                <w:bCs/>
                <w:szCs w:val="21"/>
              </w:rPr>
            </w:pPr>
            <w:r>
              <w:rPr>
                <w:rFonts w:hint="eastAsia" w:ascii="黑体" w:hAnsi="黑体" w:eastAsia="黑体"/>
                <w:bCs/>
                <w:szCs w:val="21"/>
              </w:rPr>
              <w:t>隐检记录</w:t>
            </w:r>
          </w:p>
          <w:p w14:paraId="56FBC903">
            <w:pPr>
              <w:pStyle w:val="24"/>
              <w:snapToGrid w:val="0"/>
              <w:spacing w:line="276" w:lineRule="auto"/>
              <w:ind w:firstLine="0" w:firstLineChars="0"/>
              <w:rPr>
                <w:rFonts w:ascii="宋体" w:hAnsi="宋体"/>
                <w:bCs/>
                <w:szCs w:val="21"/>
              </w:rPr>
            </w:pPr>
            <w:r>
              <w:rPr>
                <w:rFonts w:hint="eastAsia" w:ascii="宋体" w:hAnsi="宋体"/>
                <w:bCs/>
                <w:szCs w:val="21"/>
              </w:rPr>
              <w:t>1</w:t>
            </w:r>
            <w:r>
              <w:rPr>
                <w:rFonts w:ascii="宋体" w:hAnsi="宋体"/>
                <w:bCs/>
                <w:szCs w:val="21"/>
              </w:rPr>
              <w:t>.</w:t>
            </w:r>
            <w:r>
              <w:rPr>
                <w:rFonts w:hint="eastAsia" w:ascii="宋体" w:hAnsi="宋体"/>
                <w:bCs/>
                <w:szCs w:val="21"/>
              </w:rPr>
              <w:t>大木构件、斗拱制作或维修、椽望制作或维修、墙体砌筑等主要细部施工等。</w:t>
            </w:r>
          </w:p>
          <w:p w14:paraId="5EDCF683">
            <w:pPr>
              <w:pStyle w:val="24"/>
              <w:snapToGrid w:val="0"/>
              <w:spacing w:line="276" w:lineRule="auto"/>
              <w:ind w:firstLine="0" w:firstLineChars="0"/>
              <w:rPr>
                <w:rFonts w:ascii="宋体" w:hAnsi="宋体"/>
                <w:bCs/>
                <w:szCs w:val="21"/>
              </w:rPr>
            </w:pPr>
            <w:r>
              <w:rPr>
                <w:rFonts w:hint="eastAsia" w:ascii="宋体" w:hAnsi="宋体"/>
                <w:bCs/>
                <w:szCs w:val="21"/>
              </w:rPr>
              <w:t>2</w:t>
            </w:r>
            <w:r>
              <w:rPr>
                <w:rFonts w:ascii="宋体" w:hAnsi="宋体"/>
                <w:bCs/>
                <w:szCs w:val="21"/>
              </w:rPr>
              <w:t>.</w:t>
            </w:r>
            <w:r>
              <w:rPr>
                <w:rFonts w:hint="eastAsia" w:ascii="宋体" w:hAnsi="宋体"/>
                <w:bCs/>
                <w:szCs w:val="21"/>
              </w:rPr>
              <w:t>建筑外观，屋面瓦与脊饰安装、屋面基层结构（护板灰、苫背）等。</w:t>
            </w:r>
          </w:p>
          <w:p w14:paraId="2EE1C18D">
            <w:pPr>
              <w:pStyle w:val="24"/>
              <w:snapToGrid w:val="0"/>
              <w:spacing w:line="276" w:lineRule="auto"/>
              <w:ind w:firstLine="0" w:firstLineChars="0"/>
              <w:rPr>
                <w:rFonts w:ascii="宋体" w:hAnsi="宋体"/>
                <w:bCs/>
                <w:szCs w:val="21"/>
              </w:rPr>
            </w:pPr>
            <w:r>
              <w:rPr>
                <w:rFonts w:hint="eastAsia" w:ascii="宋体" w:hAnsi="宋体"/>
                <w:bCs/>
                <w:szCs w:val="21"/>
              </w:rPr>
              <w:t>3</w:t>
            </w:r>
            <w:r>
              <w:rPr>
                <w:rFonts w:ascii="宋体" w:hAnsi="宋体"/>
                <w:bCs/>
                <w:szCs w:val="21"/>
              </w:rPr>
              <w:t>.</w:t>
            </w:r>
            <w:r>
              <w:rPr>
                <w:rFonts w:hint="eastAsia" w:ascii="宋体" w:hAnsi="宋体"/>
                <w:bCs/>
                <w:szCs w:val="21"/>
              </w:rPr>
              <w:t>吊顶工程基层隐蔽验收；</w:t>
            </w:r>
          </w:p>
          <w:p w14:paraId="0ECF4D25">
            <w:pPr>
              <w:pStyle w:val="24"/>
              <w:snapToGrid w:val="0"/>
              <w:spacing w:line="276" w:lineRule="auto"/>
              <w:ind w:firstLine="0" w:firstLineChars="0"/>
              <w:rPr>
                <w:rFonts w:ascii="宋体" w:hAnsi="宋体"/>
                <w:bCs/>
                <w:szCs w:val="21"/>
              </w:rPr>
            </w:pPr>
            <w:r>
              <w:rPr>
                <w:rFonts w:hint="eastAsia" w:ascii="宋体" w:hAnsi="宋体"/>
                <w:bCs/>
                <w:szCs w:val="21"/>
              </w:rPr>
              <w:t>4</w:t>
            </w:r>
            <w:r>
              <w:rPr>
                <w:rFonts w:ascii="宋体" w:hAnsi="宋体"/>
                <w:bCs/>
                <w:szCs w:val="21"/>
              </w:rPr>
              <w:t>.</w:t>
            </w:r>
            <w:r>
              <w:rPr>
                <w:rFonts w:hint="eastAsia" w:ascii="宋体" w:hAnsi="宋体"/>
                <w:bCs/>
                <w:szCs w:val="21"/>
              </w:rPr>
              <w:t>墙体工程基层隐蔽验收；</w:t>
            </w:r>
          </w:p>
          <w:p w14:paraId="5B5247A4">
            <w:pPr>
              <w:pStyle w:val="24"/>
              <w:snapToGrid w:val="0"/>
              <w:spacing w:line="276" w:lineRule="auto"/>
              <w:ind w:firstLine="0" w:firstLineChars="0"/>
              <w:rPr>
                <w:rFonts w:ascii="宋体" w:hAnsi="宋体"/>
                <w:bCs/>
                <w:szCs w:val="21"/>
              </w:rPr>
            </w:pPr>
            <w:r>
              <w:rPr>
                <w:rFonts w:hint="eastAsia" w:ascii="宋体" w:hAnsi="宋体"/>
                <w:bCs/>
                <w:szCs w:val="21"/>
              </w:rPr>
              <w:t>5</w:t>
            </w:r>
            <w:r>
              <w:rPr>
                <w:rFonts w:ascii="宋体" w:hAnsi="宋体"/>
                <w:bCs/>
                <w:szCs w:val="21"/>
              </w:rPr>
              <w:t>.</w:t>
            </w:r>
            <w:r>
              <w:rPr>
                <w:rFonts w:hint="eastAsia" w:ascii="宋体" w:hAnsi="宋体"/>
                <w:bCs/>
                <w:szCs w:val="21"/>
              </w:rPr>
              <w:t>地面工程基层隐蔽验收；</w:t>
            </w:r>
          </w:p>
          <w:p w14:paraId="5B0FB576">
            <w:pPr>
              <w:pStyle w:val="24"/>
              <w:snapToGrid w:val="0"/>
              <w:spacing w:line="276" w:lineRule="auto"/>
              <w:ind w:firstLine="0" w:firstLineChars="0"/>
              <w:rPr>
                <w:rFonts w:ascii="宋体" w:hAnsi="宋体"/>
                <w:bCs/>
                <w:szCs w:val="21"/>
              </w:rPr>
            </w:pPr>
            <w:r>
              <w:rPr>
                <w:rFonts w:hint="eastAsia" w:ascii="宋体" w:hAnsi="宋体"/>
                <w:bCs/>
                <w:szCs w:val="21"/>
              </w:rPr>
              <w:t>6</w:t>
            </w:r>
            <w:r>
              <w:rPr>
                <w:rFonts w:ascii="宋体" w:hAnsi="宋体"/>
                <w:bCs/>
                <w:szCs w:val="21"/>
              </w:rPr>
              <w:t>.</w:t>
            </w:r>
            <w:r>
              <w:rPr>
                <w:rFonts w:hint="eastAsia" w:ascii="宋体" w:hAnsi="宋体"/>
                <w:bCs/>
                <w:szCs w:val="21"/>
              </w:rPr>
              <w:t>油漆彩画工程木基层处理；</w:t>
            </w:r>
          </w:p>
          <w:p w14:paraId="0FD671E6">
            <w:pPr>
              <w:pStyle w:val="24"/>
              <w:snapToGrid w:val="0"/>
              <w:spacing w:line="276" w:lineRule="auto"/>
              <w:ind w:firstLine="0" w:firstLineChars="0"/>
              <w:rPr>
                <w:rFonts w:ascii="宋体" w:hAnsi="宋体"/>
                <w:bCs/>
                <w:szCs w:val="21"/>
              </w:rPr>
            </w:pPr>
            <w:r>
              <w:rPr>
                <w:rFonts w:hint="eastAsia" w:ascii="宋体" w:hAnsi="宋体"/>
                <w:bCs/>
                <w:szCs w:val="21"/>
              </w:rPr>
              <w:t>7</w:t>
            </w:r>
            <w:r>
              <w:rPr>
                <w:rFonts w:ascii="宋体" w:hAnsi="宋体"/>
                <w:bCs/>
                <w:szCs w:val="21"/>
              </w:rPr>
              <w:t>.</w:t>
            </w:r>
            <w:r>
              <w:rPr>
                <w:rFonts w:hint="eastAsia" w:ascii="宋体" w:hAnsi="宋体"/>
                <w:bCs/>
                <w:szCs w:val="21"/>
              </w:rPr>
              <w:t>隐蔽资料含工程施工过程照片，尤其是涉及安全方面的要有影像资料；</w:t>
            </w:r>
          </w:p>
          <w:p w14:paraId="0536FC9A">
            <w:pPr>
              <w:pStyle w:val="24"/>
              <w:snapToGrid w:val="0"/>
              <w:spacing w:line="276" w:lineRule="auto"/>
              <w:ind w:firstLine="0" w:firstLineChars="0"/>
              <w:rPr>
                <w:rFonts w:ascii="宋体" w:hAnsi="宋体"/>
                <w:bCs/>
                <w:szCs w:val="21"/>
              </w:rPr>
            </w:pPr>
            <w:r>
              <w:rPr>
                <w:rFonts w:hint="eastAsia" w:ascii="宋体" w:hAnsi="宋体"/>
                <w:bCs/>
                <w:szCs w:val="21"/>
              </w:rPr>
              <w:t>8</w:t>
            </w:r>
            <w:r>
              <w:rPr>
                <w:rFonts w:ascii="宋体" w:hAnsi="宋体"/>
                <w:bCs/>
                <w:szCs w:val="21"/>
              </w:rPr>
              <w:t>.</w:t>
            </w:r>
            <w:r>
              <w:rPr>
                <w:rFonts w:hint="eastAsia" w:ascii="宋体" w:hAnsi="宋体"/>
                <w:bCs/>
                <w:szCs w:val="21"/>
              </w:rPr>
              <w:t>其它如防水、电气安装等隐检按公共建筑装饰类（公共建筑装饰工程）执行。</w:t>
            </w:r>
          </w:p>
        </w:tc>
        <w:tc>
          <w:tcPr>
            <w:tcW w:w="2409" w:type="dxa"/>
            <w:tcBorders>
              <w:left w:val="single" w:color="auto" w:sz="4" w:space="0"/>
              <w:bottom w:val="single" w:color="auto" w:sz="4" w:space="0"/>
              <w:right w:val="single" w:color="auto" w:sz="4" w:space="0"/>
            </w:tcBorders>
            <w:noWrap w:val="0"/>
            <w:vAlign w:val="center"/>
          </w:tcPr>
          <w:p w14:paraId="6AA7DEC9">
            <w:pPr>
              <w:pStyle w:val="24"/>
              <w:snapToGrid w:val="0"/>
              <w:spacing w:line="276"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装饰装修分值按公共建筑装饰类执行；</w:t>
            </w:r>
          </w:p>
          <w:p w14:paraId="39ACFFB6">
            <w:pPr>
              <w:pStyle w:val="24"/>
              <w:snapToGrid w:val="0"/>
              <w:spacing w:line="276"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其它不符合每项扣</w:t>
            </w:r>
            <w:r>
              <w:rPr>
                <w:rFonts w:hint="eastAsia" w:ascii="宋体" w:hAnsi="宋体"/>
                <w:szCs w:val="21"/>
                <w:lang w:val="en-US" w:eastAsia="zh-CN"/>
              </w:rPr>
              <w:t>0.5</w:t>
            </w:r>
            <w:r>
              <w:rPr>
                <w:rFonts w:hint="eastAsia" w:ascii="微软雅黑" w:hAnsi="微软雅黑" w:eastAsia="微软雅黑" w:cs="微软雅黑"/>
                <w:szCs w:val="21"/>
                <w:lang w:val="en-US" w:eastAsia="zh-CN"/>
              </w:rPr>
              <w:t>～</w:t>
            </w:r>
            <w:r>
              <w:rPr>
                <w:rFonts w:hint="eastAsia" w:ascii="宋体" w:hAnsi="宋体"/>
                <w:szCs w:val="21"/>
                <w:lang w:val="en-US" w:eastAsia="zh-CN"/>
              </w:rPr>
              <w:t>2</w:t>
            </w:r>
            <w:r>
              <w:rPr>
                <w:rFonts w:hint="eastAsia" w:ascii="宋体" w:hAnsi="宋体"/>
                <w:szCs w:val="21"/>
              </w:rPr>
              <w:t>分。</w:t>
            </w:r>
          </w:p>
        </w:tc>
        <w:tc>
          <w:tcPr>
            <w:tcW w:w="1701" w:type="dxa"/>
            <w:vMerge w:val="continue"/>
            <w:tcBorders>
              <w:left w:val="single" w:color="auto" w:sz="4" w:space="0"/>
              <w:right w:val="single" w:color="auto" w:sz="4" w:space="0"/>
            </w:tcBorders>
            <w:noWrap w:val="0"/>
            <w:vAlign w:val="center"/>
          </w:tcPr>
          <w:p w14:paraId="3FAC0856">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38E33E9F">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D8659B1">
            <w:pPr>
              <w:snapToGrid w:val="0"/>
              <w:spacing w:line="276" w:lineRule="auto"/>
              <w:rPr>
                <w:rFonts w:ascii="宋体" w:hAnsi="宋体"/>
                <w:szCs w:val="21"/>
              </w:rPr>
            </w:pPr>
          </w:p>
        </w:tc>
      </w:tr>
      <w:tr w14:paraId="0038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67" w:type="dxa"/>
            <w:vMerge w:val="continue"/>
            <w:tcBorders>
              <w:left w:val="single" w:color="auto" w:sz="4" w:space="0"/>
              <w:right w:val="single" w:color="auto" w:sz="4" w:space="0"/>
            </w:tcBorders>
            <w:noWrap w:val="0"/>
            <w:vAlign w:val="center"/>
          </w:tcPr>
          <w:p w14:paraId="3517F333">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55D6F3F9">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60627B4A">
            <w:pPr>
              <w:snapToGrid w:val="0"/>
              <w:spacing w:line="276" w:lineRule="auto"/>
              <w:rPr>
                <w:rFonts w:ascii="黑体" w:hAnsi="黑体" w:eastAsia="黑体"/>
                <w:bCs/>
                <w:szCs w:val="21"/>
              </w:rPr>
            </w:pPr>
            <w:r>
              <w:rPr>
                <w:rFonts w:hint="eastAsia" w:ascii="黑体" w:hAnsi="黑体" w:eastAsia="黑体"/>
                <w:bCs/>
                <w:szCs w:val="21"/>
              </w:rPr>
              <w:t>其它资料</w:t>
            </w:r>
          </w:p>
          <w:p w14:paraId="3C3E76BE">
            <w:pPr>
              <w:pStyle w:val="24"/>
              <w:snapToGrid w:val="0"/>
              <w:spacing w:line="276" w:lineRule="auto"/>
              <w:ind w:firstLine="0" w:firstLineChars="0"/>
              <w:rPr>
                <w:rFonts w:ascii="宋体" w:hAnsi="宋体"/>
                <w:bCs/>
                <w:szCs w:val="21"/>
              </w:rPr>
            </w:pPr>
            <w:r>
              <w:rPr>
                <w:rFonts w:hint="eastAsia" w:ascii="宋体" w:hAnsi="宋体"/>
                <w:bCs/>
                <w:szCs w:val="21"/>
              </w:rPr>
              <w:t>1</w:t>
            </w:r>
            <w:r>
              <w:rPr>
                <w:rFonts w:ascii="宋体" w:hAnsi="宋体"/>
                <w:bCs/>
                <w:szCs w:val="21"/>
              </w:rPr>
              <w:t>.</w:t>
            </w:r>
            <w:r>
              <w:rPr>
                <w:rFonts w:hint="eastAsia" w:ascii="宋体" w:hAnsi="宋体"/>
                <w:bCs/>
                <w:szCs w:val="21"/>
              </w:rPr>
              <w:t>砖、瓦、原木、木板方材、防水材料等材料物理性能复试报告；</w:t>
            </w:r>
          </w:p>
          <w:p w14:paraId="5E2EF5CB">
            <w:pPr>
              <w:pStyle w:val="24"/>
              <w:snapToGrid w:val="0"/>
              <w:spacing w:line="276" w:lineRule="auto"/>
              <w:ind w:firstLine="0" w:firstLineChars="0"/>
              <w:rPr>
                <w:rFonts w:ascii="宋体" w:hAnsi="宋体"/>
                <w:bCs/>
                <w:szCs w:val="21"/>
              </w:rPr>
            </w:pPr>
            <w:r>
              <w:rPr>
                <w:rFonts w:hint="eastAsia" w:ascii="宋体" w:hAnsi="宋体"/>
                <w:bCs/>
                <w:szCs w:val="21"/>
              </w:rPr>
              <w:t>2</w:t>
            </w:r>
            <w:r>
              <w:rPr>
                <w:rFonts w:ascii="宋体" w:hAnsi="宋体"/>
                <w:bCs/>
                <w:szCs w:val="21"/>
              </w:rPr>
              <w:t>.</w:t>
            </w:r>
            <w:r>
              <w:rPr>
                <w:rFonts w:hint="eastAsia" w:ascii="宋体" w:hAnsi="宋体"/>
                <w:bCs/>
                <w:szCs w:val="21"/>
              </w:rPr>
              <w:t>材质证明：主要装饰材料的合格证、检测报告（加盖存档单位公章、存档人）及复试报告（原件）。</w:t>
            </w:r>
          </w:p>
          <w:p w14:paraId="3C294B39">
            <w:pPr>
              <w:pStyle w:val="24"/>
              <w:snapToGrid w:val="0"/>
              <w:spacing w:line="276" w:lineRule="auto"/>
              <w:ind w:firstLine="0" w:firstLineChars="0"/>
              <w:rPr>
                <w:rFonts w:ascii="宋体" w:hAnsi="宋体"/>
                <w:bCs/>
                <w:szCs w:val="21"/>
              </w:rPr>
            </w:pPr>
            <w:r>
              <w:rPr>
                <w:rFonts w:hint="eastAsia" w:ascii="宋体" w:hAnsi="宋体"/>
                <w:bCs/>
                <w:szCs w:val="21"/>
              </w:rPr>
              <w:t>3</w:t>
            </w:r>
            <w:r>
              <w:rPr>
                <w:rFonts w:ascii="宋体" w:hAnsi="宋体"/>
                <w:bCs/>
                <w:szCs w:val="21"/>
              </w:rPr>
              <w:t>.</w:t>
            </w:r>
            <w:r>
              <w:rPr>
                <w:rFonts w:hint="eastAsia" w:ascii="宋体" w:hAnsi="宋体"/>
                <w:bCs/>
                <w:szCs w:val="21"/>
              </w:rPr>
              <w:t>施工组织设计、特殊专项方案、技术交底审批手续完整，签字齐全；施工日志日期连续，内容全面，签字齐全（原件）；</w:t>
            </w:r>
          </w:p>
          <w:p w14:paraId="48C48E89">
            <w:pPr>
              <w:pStyle w:val="24"/>
              <w:snapToGrid w:val="0"/>
              <w:spacing w:line="276" w:lineRule="auto"/>
              <w:ind w:firstLine="0" w:firstLineChars="0"/>
              <w:rPr>
                <w:rFonts w:ascii="宋体" w:hAnsi="宋体"/>
                <w:bCs/>
                <w:szCs w:val="21"/>
              </w:rPr>
            </w:pPr>
            <w:r>
              <w:rPr>
                <w:rFonts w:hint="eastAsia" w:ascii="宋体" w:hAnsi="宋体"/>
                <w:bCs/>
                <w:szCs w:val="21"/>
              </w:rPr>
              <w:t>4</w:t>
            </w:r>
            <w:r>
              <w:rPr>
                <w:rFonts w:ascii="宋体" w:hAnsi="宋体"/>
                <w:bCs/>
                <w:szCs w:val="21"/>
              </w:rPr>
              <w:t>.</w:t>
            </w:r>
            <w:r>
              <w:rPr>
                <w:rFonts w:hint="eastAsia" w:ascii="宋体" w:hAnsi="宋体"/>
                <w:bCs/>
                <w:szCs w:val="21"/>
              </w:rPr>
              <w:t>检验批、分项、分部（子分部）质量验收记录齐全（原件）；</w:t>
            </w:r>
          </w:p>
          <w:p w14:paraId="072888A5">
            <w:pPr>
              <w:pStyle w:val="24"/>
              <w:snapToGrid w:val="0"/>
              <w:spacing w:line="276" w:lineRule="auto"/>
              <w:ind w:firstLine="0" w:firstLineChars="0"/>
              <w:rPr>
                <w:rFonts w:ascii="宋体" w:hAnsi="宋体"/>
                <w:bCs/>
                <w:szCs w:val="21"/>
              </w:rPr>
            </w:pPr>
            <w:r>
              <w:rPr>
                <w:rFonts w:hint="eastAsia" w:ascii="宋体" w:hAnsi="宋体"/>
                <w:bCs/>
                <w:szCs w:val="21"/>
              </w:rPr>
              <w:t>5</w:t>
            </w:r>
            <w:r>
              <w:rPr>
                <w:rFonts w:ascii="宋体" w:hAnsi="宋体"/>
                <w:bCs/>
                <w:szCs w:val="21"/>
              </w:rPr>
              <w:t>.</w:t>
            </w:r>
            <w:r>
              <w:rPr>
                <w:rFonts w:hint="eastAsia" w:ascii="宋体" w:hAnsi="宋体"/>
                <w:bCs/>
                <w:szCs w:val="21"/>
              </w:rPr>
              <w:t>竣工图（重点部位、重要节点图与隐蔽验收一致）、节能设计等按公共建筑装饰类执行。</w:t>
            </w:r>
          </w:p>
        </w:tc>
        <w:tc>
          <w:tcPr>
            <w:tcW w:w="2409" w:type="dxa"/>
            <w:tcBorders>
              <w:left w:val="single" w:color="auto" w:sz="4" w:space="0"/>
              <w:bottom w:val="single" w:color="auto" w:sz="4" w:space="0"/>
              <w:right w:val="single" w:color="auto" w:sz="4" w:space="0"/>
            </w:tcBorders>
            <w:noWrap w:val="0"/>
            <w:vAlign w:val="center"/>
          </w:tcPr>
          <w:p w14:paraId="5195667F">
            <w:pPr>
              <w:pStyle w:val="24"/>
              <w:snapToGrid w:val="0"/>
              <w:spacing w:line="276" w:lineRule="auto"/>
              <w:ind w:firstLine="0" w:firstLineChars="0"/>
              <w:rPr>
                <w:rFonts w:ascii="宋体" w:hAnsi="宋体"/>
                <w:bCs/>
                <w:szCs w:val="21"/>
              </w:rPr>
            </w:pPr>
            <w:r>
              <w:rPr>
                <w:rFonts w:hint="eastAsia" w:ascii="宋体" w:hAnsi="宋体"/>
                <w:bCs/>
                <w:szCs w:val="21"/>
              </w:rPr>
              <w:t>1</w:t>
            </w:r>
            <w:r>
              <w:rPr>
                <w:rFonts w:ascii="宋体" w:hAnsi="宋体"/>
                <w:bCs/>
                <w:szCs w:val="21"/>
              </w:rPr>
              <w:t>.</w:t>
            </w:r>
            <w:r>
              <w:rPr>
                <w:rFonts w:hint="eastAsia" w:ascii="宋体" w:hAnsi="宋体"/>
                <w:bCs/>
                <w:szCs w:val="21"/>
              </w:rPr>
              <w:t>装饰装修分值按公共建筑装饰类（公共建筑装饰工程）执行；</w:t>
            </w:r>
          </w:p>
          <w:p w14:paraId="14E1D0F3">
            <w:pPr>
              <w:pStyle w:val="24"/>
              <w:snapToGrid w:val="0"/>
              <w:spacing w:line="276" w:lineRule="auto"/>
              <w:ind w:firstLine="0" w:firstLineChars="0"/>
              <w:rPr>
                <w:rFonts w:ascii="宋体" w:hAnsi="宋体"/>
                <w:szCs w:val="21"/>
              </w:rPr>
            </w:pPr>
            <w:r>
              <w:rPr>
                <w:rFonts w:hint="eastAsia" w:ascii="宋体" w:hAnsi="宋体"/>
                <w:bCs/>
                <w:szCs w:val="21"/>
              </w:rPr>
              <w:t>2</w:t>
            </w:r>
            <w:r>
              <w:rPr>
                <w:rFonts w:ascii="宋体" w:hAnsi="宋体"/>
                <w:bCs/>
                <w:szCs w:val="21"/>
              </w:rPr>
              <w:t>.</w:t>
            </w:r>
            <w:r>
              <w:rPr>
                <w:rFonts w:hint="eastAsia" w:ascii="宋体" w:hAnsi="宋体"/>
                <w:bCs/>
                <w:szCs w:val="21"/>
              </w:rPr>
              <w:t>其它不符合每项扣0.5</w:t>
            </w:r>
            <w:r>
              <w:rPr>
                <w:rFonts w:hint="eastAsia" w:ascii="微软雅黑" w:hAnsi="微软雅黑" w:eastAsia="微软雅黑" w:cs="微软雅黑"/>
                <w:bCs/>
                <w:szCs w:val="21"/>
              </w:rPr>
              <w:t>～</w:t>
            </w:r>
            <w:r>
              <w:rPr>
                <w:rFonts w:hint="eastAsia" w:ascii="宋体" w:hAnsi="宋体"/>
                <w:szCs w:val="21"/>
                <w:lang w:val="en-US" w:eastAsia="zh-CN"/>
              </w:rPr>
              <w:t>2</w:t>
            </w:r>
            <w:r>
              <w:rPr>
                <w:rFonts w:hint="eastAsia" w:ascii="宋体" w:hAnsi="宋体"/>
                <w:bCs/>
                <w:szCs w:val="21"/>
              </w:rPr>
              <w:t>分。</w:t>
            </w:r>
          </w:p>
        </w:tc>
        <w:tc>
          <w:tcPr>
            <w:tcW w:w="1701" w:type="dxa"/>
            <w:vMerge w:val="continue"/>
            <w:tcBorders>
              <w:left w:val="single" w:color="auto" w:sz="4" w:space="0"/>
              <w:right w:val="single" w:color="auto" w:sz="4" w:space="0"/>
            </w:tcBorders>
            <w:noWrap w:val="0"/>
            <w:vAlign w:val="center"/>
          </w:tcPr>
          <w:p w14:paraId="2978227B">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7CD95469">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867F1F8">
            <w:pPr>
              <w:snapToGrid w:val="0"/>
              <w:spacing w:line="276" w:lineRule="auto"/>
              <w:rPr>
                <w:rFonts w:ascii="宋体" w:hAnsi="宋体"/>
                <w:szCs w:val="21"/>
              </w:rPr>
            </w:pPr>
          </w:p>
        </w:tc>
      </w:tr>
      <w:tr w14:paraId="2019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67" w:type="dxa"/>
            <w:vMerge w:val="restart"/>
            <w:tcBorders>
              <w:left w:val="single" w:color="auto" w:sz="4" w:space="0"/>
              <w:right w:val="single" w:color="auto" w:sz="4" w:space="0"/>
            </w:tcBorders>
            <w:noWrap w:val="0"/>
            <w:vAlign w:val="center"/>
          </w:tcPr>
          <w:p w14:paraId="00FE217F">
            <w:pPr>
              <w:snapToGrid w:val="0"/>
              <w:spacing w:line="288" w:lineRule="auto"/>
              <w:jc w:val="center"/>
              <w:rPr>
                <w:rFonts w:ascii="宋体" w:hAnsi="宋体"/>
                <w:szCs w:val="21"/>
              </w:rPr>
            </w:pPr>
            <w:r>
              <w:rPr>
                <w:rFonts w:hint="eastAsia" w:ascii="宋体" w:hAnsi="宋体"/>
                <w:szCs w:val="21"/>
              </w:rPr>
              <w:t>2</w:t>
            </w:r>
          </w:p>
        </w:tc>
        <w:tc>
          <w:tcPr>
            <w:tcW w:w="1277" w:type="dxa"/>
            <w:vMerge w:val="restart"/>
            <w:tcBorders>
              <w:left w:val="single" w:color="auto" w:sz="4" w:space="0"/>
              <w:right w:val="single" w:color="auto" w:sz="4" w:space="0"/>
            </w:tcBorders>
            <w:noWrap w:val="0"/>
            <w:vAlign w:val="center"/>
          </w:tcPr>
          <w:p w14:paraId="278B6BC1">
            <w:pPr>
              <w:snapToGrid w:val="0"/>
              <w:spacing w:line="240" w:lineRule="exact"/>
              <w:jc w:val="center"/>
              <w:rPr>
                <w:rFonts w:ascii="宋体" w:hAnsi="宋体"/>
                <w:szCs w:val="21"/>
              </w:rPr>
            </w:pPr>
            <w:r>
              <w:rPr>
                <w:rFonts w:hint="eastAsia" w:ascii="宋体" w:hAnsi="宋体"/>
                <w:bCs/>
                <w:szCs w:val="21"/>
              </w:rPr>
              <w:t>建筑外檐与室外工程</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6E9A4275">
            <w:pPr>
              <w:snapToGrid w:val="0"/>
              <w:spacing w:line="288" w:lineRule="auto"/>
              <w:rPr>
                <w:rFonts w:ascii="黑体" w:hAnsi="黑体" w:eastAsia="黑体"/>
                <w:szCs w:val="21"/>
              </w:rPr>
            </w:pPr>
            <w:r>
              <w:rPr>
                <w:rFonts w:ascii="黑体" w:hAnsi="黑体" w:eastAsia="黑体"/>
                <w:szCs w:val="21"/>
              </w:rPr>
              <w:t>一般观感</w:t>
            </w:r>
          </w:p>
          <w:p w14:paraId="04D9310F">
            <w:pPr>
              <w:pStyle w:val="2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建筑外观形制不符合要求，整体不美观；</w:t>
            </w:r>
          </w:p>
          <w:p w14:paraId="3DA7E073">
            <w:pPr>
              <w:pStyle w:val="2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墙柱收分不合理，墙面砖布列不美观，安装不顺直；</w:t>
            </w:r>
          </w:p>
          <w:p w14:paraId="51C16CF5">
            <w:pPr>
              <w:pStyle w:val="24"/>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构件加工精细安装不美观，油漆彩绘不精美、掉漆流坠。</w:t>
            </w:r>
          </w:p>
        </w:tc>
        <w:tc>
          <w:tcPr>
            <w:tcW w:w="2409" w:type="dxa"/>
            <w:vMerge w:val="restart"/>
            <w:tcBorders>
              <w:top w:val="single" w:color="auto" w:sz="4" w:space="0"/>
              <w:left w:val="single" w:color="auto" w:sz="4" w:space="0"/>
              <w:right w:val="single" w:color="auto" w:sz="4" w:space="0"/>
            </w:tcBorders>
            <w:noWrap w:val="0"/>
            <w:vAlign w:val="center"/>
          </w:tcPr>
          <w:p w14:paraId="519D0BDA">
            <w:pPr>
              <w:pStyle w:val="2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装饰装修分值按公共建筑装饰类（公共建筑装饰工程）执行。</w:t>
            </w:r>
          </w:p>
          <w:p w14:paraId="4CAFA8E3">
            <w:pPr>
              <w:pStyle w:val="2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其它问题项每项扣0.5</w:t>
            </w:r>
            <w:r>
              <w:rPr>
                <w:rFonts w:hint="eastAsia" w:ascii="微软雅黑" w:hAnsi="微软雅黑" w:eastAsia="微软雅黑" w:cs="微软雅黑"/>
                <w:szCs w:val="21"/>
              </w:rPr>
              <w:t>～</w:t>
            </w:r>
            <w:r>
              <w:rPr>
                <w:rFonts w:hint="eastAsia" w:ascii="宋体" w:hAnsi="宋体"/>
                <w:szCs w:val="21"/>
              </w:rPr>
              <w:t>1分。</w:t>
            </w:r>
          </w:p>
        </w:tc>
        <w:tc>
          <w:tcPr>
            <w:tcW w:w="1701" w:type="dxa"/>
            <w:vMerge w:val="restart"/>
            <w:tcBorders>
              <w:left w:val="single" w:color="auto" w:sz="4" w:space="0"/>
              <w:right w:val="single" w:color="auto" w:sz="4" w:space="0"/>
            </w:tcBorders>
            <w:noWrap w:val="0"/>
            <w:vAlign w:val="center"/>
          </w:tcPr>
          <w:p w14:paraId="64633154">
            <w:pPr>
              <w:pStyle w:val="24"/>
              <w:snapToGrid w:val="0"/>
              <w:spacing w:line="288" w:lineRule="auto"/>
              <w:ind w:firstLine="0" w:firstLineChars="0"/>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涉及工程质量安全、强条项的内容为必查项。2</w:t>
            </w:r>
            <w:r>
              <w:rPr>
                <w:rFonts w:ascii="宋体" w:hAnsi="宋体"/>
                <w:szCs w:val="21"/>
              </w:rPr>
              <w:t>.</w:t>
            </w:r>
            <w:r>
              <w:rPr>
                <w:rFonts w:hint="eastAsia" w:ascii="宋体" w:hAnsi="宋体"/>
                <w:szCs w:val="21"/>
              </w:rPr>
              <w:t>涉及使用功能的内容为必查项。</w:t>
            </w:r>
          </w:p>
        </w:tc>
        <w:tc>
          <w:tcPr>
            <w:tcW w:w="851" w:type="dxa"/>
            <w:vMerge w:val="restart"/>
            <w:tcBorders>
              <w:left w:val="single" w:color="auto" w:sz="4" w:space="0"/>
              <w:right w:val="single" w:color="auto" w:sz="4" w:space="0"/>
            </w:tcBorders>
            <w:noWrap w:val="0"/>
            <w:vAlign w:val="center"/>
          </w:tcPr>
          <w:p w14:paraId="4B4A6C8F">
            <w:pPr>
              <w:snapToGrid w:val="0"/>
              <w:spacing w:line="288" w:lineRule="auto"/>
              <w:jc w:val="center"/>
              <w:rPr>
                <w:rFonts w:ascii="宋体" w:hAnsi="宋体"/>
                <w:szCs w:val="21"/>
              </w:rPr>
            </w:pPr>
            <w:r>
              <w:rPr>
                <w:rFonts w:hint="eastAsia" w:ascii="宋体" w:hAnsi="宋体"/>
                <w:szCs w:val="21"/>
              </w:rPr>
              <w:t>20分</w:t>
            </w:r>
          </w:p>
        </w:tc>
        <w:tc>
          <w:tcPr>
            <w:tcW w:w="2268" w:type="dxa"/>
            <w:vMerge w:val="restart"/>
            <w:tcBorders>
              <w:top w:val="single" w:color="auto" w:sz="4" w:space="0"/>
              <w:left w:val="single" w:color="auto" w:sz="4" w:space="0"/>
              <w:right w:val="single" w:color="auto" w:sz="4" w:space="0"/>
            </w:tcBorders>
            <w:noWrap w:val="0"/>
            <w:vAlign w:val="center"/>
          </w:tcPr>
          <w:p w14:paraId="6CD1EF3A">
            <w:pPr>
              <w:snapToGrid w:val="0"/>
              <w:spacing w:line="288" w:lineRule="auto"/>
              <w:rPr>
                <w:rFonts w:ascii="宋体" w:hAnsi="宋体"/>
                <w:szCs w:val="21"/>
              </w:rPr>
            </w:pPr>
            <w:r>
              <w:rPr>
                <w:rFonts w:ascii="宋体" w:hAnsi="宋体"/>
                <w:szCs w:val="21"/>
              </w:rPr>
              <w:t>结合图纸、资料查工程实体</w:t>
            </w:r>
          </w:p>
        </w:tc>
      </w:tr>
      <w:tr w14:paraId="4F1B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567" w:type="dxa"/>
            <w:vMerge w:val="continue"/>
            <w:tcBorders>
              <w:left w:val="single" w:color="auto" w:sz="4" w:space="0"/>
              <w:right w:val="single" w:color="auto" w:sz="4" w:space="0"/>
            </w:tcBorders>
            <w:noWrap w:val="0"/>
            <w:vAlign w:val="center"/>
          </w:tcPr>
          <w:p w14:paraId="6615F751">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1660EAB2">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07D2407B">
            <w:pPr>
              <w:snapToGrid w:val="0"/>
              <w:spacing w:line="288" w:lineRule="auto"/>
              <w:rPr>
                <w:rFonts w:ascii="黑体" w:hAnsi="黑体" w:eastAsia="黑体"/>
                <w:szCs w:val="21"/>
              </w:rPr>
            </w:pPr>
            <w:r>
              <w:rPr>
                <w:rFonts w:ascii="黑体" w:hAnsi="黑体" w:eastAsia="黑体"/>
                <w:szCs w:val="21"/>
              </w:rPr>
              <w:t>屋面</w:t>
            </w:r>
          </w:p>
          <w:p w14:paraId="4AC01473">
            <w:pPr>
              <w:pStyle w:val="2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屋面挠度不平顺，瓦垄不流畅，与脊、博风等相邻构件未能有机结合，观感质量差。正脊与垂脊、戗脊设置错误，脊饰安装位置不正确；</w:t>
            </w:r>
          </w:p>
          <w:p w14:paraId="39966CC3">
            <w:pPr>
              <w:pStyle w:val="2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屋面瓦布列欠均匀，破损、缺失；</w:t>
            </w:r>
          </w:p>
          <w:p w14:paraId="2C499D40">
            <w:pPr>
              <w:pStyle w:val="24"/>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排水、防水、防火、保温、防雷欠规范；</w:t>
            </w:r>
          </w:p>
          <w:p w14:paraId="428EA194">
            <w:pPr>
              <w:pStyle w:val="24"/>
              <w:snapToGrid w:val="0"/>
              <w:spacing w:line="288" w:lineRule="auto"/>
              <w:ind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屋面有渗漏、墙面有雨水侵蚀痕迹。</w:t>
            </w:r>
          </w:p>
        </w:tc>
        <w:tc>
          <w:tcPr>
            <w:tcW w:w="2409" w:type="dxa"/>
            <w:vMerge w:val="continue"/>
            <w:tcBorders>
              <w:left w:val="single" w:color="auto" w:sz="4" w:space="0"/>
              <w:right w:val="single" w:color="auto" w:sz="4" w:space="0"/>
            </w:tcBorders>
            <w:noWrap w:val="0"/>
            <w:vAlign w:val="center"/>
          </w:tcPr>
          <w:p w14:paraId="0640BFE4">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6CA9045E">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5FA7ADA3">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1BC30E7A">
            <w:pPr>
              <w:snapToGrid w:val="0"/>
              <w:spacing w:line="288" w:lineRule="auto"/>
              <w:rPr>
                <w:rFonts w:ascii="宋体" w:hAnsi="宋体"/>
                <w:szCs w:val="21"/>
              </w:rPr>
            </w:pPr>
          </w:p>
        </w:tc>
      </w:tr>
      <w:tr w14:paraId="672D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67" w:type="dxa"/>
            <w:vMerge w:val="continue"/>
            <w:tcBorders>
              <w:left w:val="single" w:color="auto" w:sz="4" w:space="0"/>
              <w:right w:val="single" w:color="auto" w:sz="4" w:space="0"/>
            </w:tcBorders>
            <w:noWrap w:val="0"/>
            <w:vAlign w:val="center"/>
          </w:tcPr>
          <w:p w14:paraId="04B1CA7B">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5D30ECEF">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27452998">
            <w:pPr>
              <w:snapToGrid w:val="0"/>
              <w:spacing w:line="288" w:lineRule="auto"/>
              <w:rPr>
                <w:rFonts w:ascii="黑体" w:hAnsi="黑体" w:eastAsia="黑体"/>
                <w:szCs w:val="21"/>
              </w:rPr>
            </w:pPr>
            <w:r>
              <w:rPr>
                <w:rFonts w:ascii="黑体" w:hAnsi="黑体" w:eastAsia="黑体"/>
                <w:szCs w:val="21"/>
              </w:rPr>
              <w:t>墙柱面</w:t>
            </w:r>
          </w:p>
          <w:p w14:paraId="60433930">
            <w:pPr>
              <w:snapToGrid w:val="0"/>
              <w:spacing w:line="288" w:lineRule="auto"/>
              <w:rPr>
                <w:rFonts w:ascii="宋体" w:hAnsi="宋体"/>
                <w:szCs w:val="21"/>
              </w:rPr>
            </w:pPr>
            <w:r>
              <w:rPr>
                <w:rFonts w:ascii="宋体" w:hAnsi="宋体"/>
                <w:szCs w:val="21"/>
              </w:rPr>
              <w:t>1.</w:t>
            </w:r>
            <w:r>
              <w:rPr>
                <w:rFonts w:hint="eastAsia" w:ascii="宋体" w:hAnsi="宋体"/>
                <w:szCs w:val="21"/>
              </w:rPr>
              <w:t>墙柱收、分欠合理，墙面砖排列欠美观，有反碱、起皮现象；</w:t>
            </w:r>
          </w:p>
          <w:p w14:paraId="2AFC8D64">
            <w:pPr>
              <w:snapToGrid w:val="0"/>
              <w:spacing w:line="288" w:lineRule="auto"/>
              <w:rPr>
                <w:rFonts w:ascii="宋体" w:hAnsi="宋体"/>
                <w:szCs w:val="21"/>
              </w:rPr>
            </w:pPr>
            <w:r>
              <w:rPr>
                <w:rFonts w:hint="eastAsia" w:ascii="宋体" w:hAnsi="宋体"/>
                <w:szCs w:val="21"/>
              </w:rPr>
              <w:t>2.槛墙与柱面收、分不顺直、欠美观。</w:t>
            </w:r>
          </w:p>
        </w:tc>
        <w:tc>
          <w:tcPr>
            <w:tcW w:w="2409" w:type="dxa"/>
            <w:vMerge w:val="continue"/>
            <w:tcBorders>
              <w:left w:val="single" w:color="auto" w:sz="4" w:space="0"/>
              <w:right w:val="single" w:color="auto" w:sz="4" w:space="0"/>
            </w:tcBorders>
            <w:noWrap w:val="0"/>
            <w:vAlign w:val="center"/>
          </w:tcPr>
          <w:p w14:paraId="7F34B178">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720D83B4">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0787329C">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7A496AD9">
            <w:pPr>
              <w:snapToGrid w:val="0"/>
              <w:spacing w:line="288" w:lineRule="auto"/>
              <w:rPr>
                <w:rFonts w:ascii="宋体" w:hAnsi="宋体"/>
                <w:szCs w:val="21"/>
              </w:rPr>
            </w:pPr>
          </w:p>
        </w:tc>
      </w:tr>
      <w:tr w14:paraId="4AAB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567" w:type="dxa"/>
            <w:vMerge w:val="continue"/>
            <w:tcBorders>
              <w:left w:val="single" w:color="auto" w:sz="4" w:space="0"/>
              <w:right w:val="single" w:color="auto" w:sz="4" w:space="0"/>
            </w:tcBorders>
            <w:noWrap w:val="0"/>
            <w:vAlign w:val="center"/>
          </w:tcPr>
          <w:p w14:paraId="2B60B590">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69B7F32D">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464ED8A3">
            <w:pPr>
              <w:snapToGrid w:val="0"/>
              <w:spacing w:line="288" w:lineRule="auto"/>
              <w:rPr>
                <w:rFonts w:ascii="黑体" w:hAnsi="黑体" w:eastAsia="黑体"/>
                <w:szCs w:val="21"/>
              </w:rPr>
            </w:pPr>
            <w:r>
              <w:rPr>
                <w:rFonts w:ascii="黑体" w:hAnsi="黑体" w:eastAsia="黑体"/>
                <w:szCs w:val="21"/>
              </w:rPr>
              <w:t>台基</w:t>
            </w:r>
          </w:p>
          <w:p w14:paraId="1F1660F9">
            <w:pPr>
              <w:snapToGrid w:val="0"/>
              <w:spacing w:line="288" w:lineRule="auto"/>
              <w:rPr>
                <w:rFonts w:ascii="宋体" w:hAnsi="宋体"/>
                <w:szCs w:val="21"/>
              </w:rPr>
            </w:pPr>
            <w:r>
              <w:rPr>
                <w:rFonts w:hint="eastAsia" w:ascii="宋体" w:hAnsi="宋体"/>
                <w:szCs w:val="21"/>
              </w:rPr>
              <w:t>1.台基制作不美观，基座（须弥座）加工粗糙，安装欠平顺；</w:t>
            </w:r>
          </w:p>
          <w:p w14:paraId="07C7DA72">
            <w:pPr>
              <w:snapToGrid w:val="0"/>
              <w:spacing w:line="288" w:lineRule="auto"/>
              <w:rPr>
                <w:rFonts w:ascii="宋体" w:hAnsi="宋体"/>
                <w:szCs w:val="21"/>
              </w:rPr>
            </w:pPr>
            <w:r>
              <w:rPr>
                <w:rFonts w:hint="eastAsia" w:ascii="宋体" w:hAnsi="宋体"/>
                <w:szCs w:val="21"/>
              </w:rPr>
              <w:t>2.台阶与地面铺装不平整牢固，缺失、断裂等；</w:t>
            </w:r>
          </w:p>
          <w:p w14:paraId="21E3B122">
            <w:pPr>
              <w:snapToGrid w:val="0"/>
              <w:spacing w:line="288" w:lineRule="auto"/>
              <w:rPr>
                <w:rFonts w:ascii="宋体" w:hAnsi="宋体"/>
                <w:szCs w:val="21"/>
              </w:rPr>
            </w:pPr>
            <w:r>
              <w:rPr>
                <w:rFonts w:hint="eastAsia" w:ascii="宋体" w:hAnsi="宋体"/>
                <w:szCs w:val="21"/>
              </w:rPr>
              <w:t>3.栏杆构件加工粗糙，安装欠牢固。</w:t>
            </w:r>
          </w:p>
        </w:tc>
        <w:tc>
          <w:tcPr>
            <w:tcW w:w="2409" w:type="dxa"/>
            <w:vMerge w:val="continue"/>
            <w:tcBorders>
              <w:left w:val="single" w:color="auto" w:sz="4" w:space="0"/>
              <w:right w:val="single" w:color="auto" w:sz="4" w:space="0"/>
            </w:tcBorders>
            <w:noWrap w:val="0"/>
            <w:vAlign w:val="center"/>
          </w:tcPr>
          <w:p w14:paraId="30B7745A">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1B2F908C">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2CF215CC">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2A21BE48">
            <w:pPr>
              <w:snapToGrid w:val="0"/>
              <w:spacing w:line="288" w:lineRule="auto"/>
              <w:rPr>
                <w:rFonts w:ascii="宋体" w:hAnsi="宋体"/>
                <w:szCs w:val="21"/>
              </w:rPr>
            </w:pPr>
          </w:p>
        </w:tc>
      </w:tr>
      <w:tr w14:paraId="0C62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567" w:type="dxa"/>
            <w:vMerge w:val="continue"/>
            <w:tcBorders>
              <w:left w:val="single" w:color="auto" w:sz="4" w:space="0"/>
              <w:right w:val="single" w:color="auto" w:sz="4" w:space="0"/>
            </w:tcBorders>
            <w:noWrap w:val="0"/>
            <w:vAlign w:val="center"/>
          </w:tcPr>
          <w:p w14:paraId="1D374ADA">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61F42979">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68F47841">
            <w:pPr>
              <w:snapToGrid w:val="0"/>
              <w:spacing w:line="288" w:lineRule="auto"/>
              <w:rPr>
                <w:rFonts w:ascii="黑体" w:hAnsi="黑体" w:eastAsia="黑体"/>
                <w:szCs w:val="21"/>
              </w:rPr>
            </w:pPr>
            <w:r>
              <w:rPr>
                <w:rFonts w:ascii="黑体" w:hAnsi="黑体" w:eastAsia="黑体"/>
                <w:szCs w:val="21"/>
              </w:rPr>
              <w:t>油漆彩画</w:t>
            </w:r>
          </w:p>
          <w:p w14:paraId="5C457D33">
            <w:pPr>
              <w:snapToGrid w:val="0"/>
              <w:spacing w:line="288" w:lineRule="auto"/>
              <w:rPr>
                <w:rFonts w:ascii="宋体" w:hAnsi="宋体"/>
                <w:szCs w:val="21"/>
              </w:rPr>
            </w:pPr>
            <w:r>
              <w:rPr>
                <w:rFonts w:hint="eastAsia" w:ascii="宋体" w:hAnsi="宋体"/>
                <w:szCs w:val="21"/>
              </w:rPr>
              <w:t>1.油漆色泽欠均匀，表面欠光滑，有气泡脱皮，有褶皱和刷印、开裂、脱漆、透底等现象。</w:t>
            </w:r>
          </w:p>
          <w:p w14:paraId="6D328ED5">
            <w:pPr>
              <w:snapToGrid w:val="0"/>
              <w:spacing w:line="288" w:lineRule="auto"/>
              <w:rPr>
                <w:rFonts w:ascii="宋体" w:hAnsi="宋体"/>
                <w:szCs w:val="21"/>
              </w:rPr>
            </w:pPr>
            <w:r>
              <w:rPr>
                <w:rFonts w:hint="eastAsia" w:ascii="宋体" w:hAnsi="宋体"/>
                <w:szCs w:val="21"/>
              </w:rPr>
              <w:t>2.彩画绘制粗糙。</w:t>
            </w:r>
          </w:p>
        </w:tc>
        <w:tc>
          <w:tcPr>
            <w:tcW w:w="2409" w:type="dxa"/>
            <w:vMerge w:val="continue"/>
            <w:tcBorders>
              <w:left w:val="single" w:color="auto" w:sz="4" w:space="0"/>
              <w:right w:val="single" w:color="auto" w:sz="4" w:space="0"/>
            </w:tcBorders>
            <w:noWrap w:val="0"/>
            <w:vAlign w:val="center"/>
          </w:tcPr>
          <w:p w14:paraId="666F7DC5">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42537696">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73E25503">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2CEC6E17">
            <w:pPr>
              <w:snapToGrid w:val="0"/>
              <w:spacing w:line="288" w:lineRule="auto"/>
              <w:rPr>
                <w:rFonts w:ascii="宋体" w:hAnsi="宋体"/>
                <w:szCs w:val="21"/>
              </w:rPr>
            </w:pPr>
          </w:p>
        </w:tc>
      </w:tr>
      <w:tr w14:paraId="10EA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trPr>
        <w:tc>
          <w:tcPr>
            <w:tcW w:w="567" w:type="dxa"/>
            <w:vMerge w:val="continue"/>
            <w:tcBorders>
              <w:left w:val="single" w:color="auto" w:sz="4" w:space="0"/>
              <w:bottom w:val="single" w:color="auto" w:sz="4" w:space="0"/>
              <w:right w:val="single" w:color="auto" w:sz="4" w:space="0"/>
            </w:tcBorders>
            <w:noWrap w:val="0"/>
            <w:vAlign w:val="center"/>
          </w:tcPr>
          <w:p w14:paraId="24A7D298">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71225395">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011FC15">
            <w:pPr>
              <w:snapToGrid w:val="0"/>
              <w:spacing w:line="288" w:lineRule="auto"/>
              <w:rPr>
                <w:rFonts w:ascii="黑体" w:hAnsi="黑体" w:eastAsia="黑体"/>
                <w:szCs w:val="21"/>
              </w:rPr>
            </w:pPr>
            <w:r>
              <w:rPr>
                <w:rFonts w:hint="eastAsia" w:ascii="黑体" w:hAnsi="黑体" w:eastAsia="黑体"/>
                <w:szCs w:val="21"/>
              </w:rPr>
              <w:t>装饰构件（雕塑、木构件、门窗）</w:t>
            </w:r>
          </w:p>
          <w:p w14:paraId="1FCB4D81">
            <w:pPr>
              <w:pStyle w:val="2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斗拱（如有）加工安装（额、枋、板位置）欠准确。</w:t>
            </w:r>
          </w:p>
          <w:p w14:paraId="5843C116">
            <w:pPr>
              <w:pStyle w:val="2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檩、椽、封檐板、瓦口板等安装欠美观牢固。</w:t>
            </w:r>
          </w:p>
          <w:p w14:paraId="46A9277E">
            <w:pPr>
              <w:pStyle w:val="24"/>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建筑中的各类木雕、砖雕、石雕、灰塑、陶塑的制作、安装欠佳。</w:t>
            </w:r>
          </w:p>
          <w:p w14:paraId="751BD782">
            <w:pPr>
              <w:pStyle w:val="24"/>
              <w:snapToGrid w:val="0"/>
              <w:spacing w:line="288" w:lineRule="auto"/>
              <w:ind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木构件与门窗安装欠牢固，制作欠精细。</w:t>
            </w:r>
          </w:p>
          <w:p w14:paraId="7F6876C3">
            <w:pPr>
              <w:pStyle w:val="24"/>
              <w:snapToGrid w:val="0"/>
              <w:spacing w:line="288" w:lineRule="auto"/>
              <w:ind w:firstLine="0" w:firstLineChars="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板方材有腐朽、虫蛀现象，在连接的受剪面上有裂纹，木节过于集中（文保修缮除外），仿古建筑防腐、防虫、防火处理未按设计要求施工。</w:t>
            </w:r>
          </w:p>
          <w:p w14:paraId="18A5A06A">
            <w:pPr>
              <w:pStyle w:val="24"/>
              <w:snapToGrid w:val="0"/>
              <w:spacing w:line="288" w:lineRule="auto"/>
              <w:ind w:firstLine="0" w:firstLineChars="0"/>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其他构配件制作粗糙，安装欠牢固。</w:t>
            </w:r>
          </w:p>
        </w:tc>
        <w:tc>
          <w:tcPr>
            <w:tcW w:w="2409" w:type="dxa"/>
            <w:vMerge w:val="continue"/>
            <w:tcBorders>
              <w:left w:val="single" w:color="auto" w:sz="4" w:space="0"/>
              <w:bottom w:val="single" w:color="auto" w:sz="4" w:space="0"/>
              <w:right w:val="single" w:color="auto" w:sz="4" w:space="0"/>
            </w:tcBorders>
            <w:noWrap w:val="0"/>
            <w:vAlign w:val="center"/>
          </w:tcPr>
          <w:p w14:paraId="657F86AE">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4F78444E">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306F174A">
            <w:pPr>
              <w:snapToGrid w:val="0"/>
              <w:spacing w:line="288" w:lineRule="auto"/>
              <w:jc w:val="center"/>
              <w:rPr>
                <w:rFonts w:ascii="宋体" w:hAnsi="宋体"/>
                <w:szCs w:val="21"/>
              </w:rPr>
            </w:pPr>
          </w:p>
        </w:tc>
        <w:tc>
          <w:tcPr>
            <w:tcW w:w="2268" w:type="dxa"/>
            <w:vMerge w:val="continue"/>
            <w:tcBorders>
              <w:left w:val="single" w:color="auto" w:sz="4" w:space="0"/>
              <w:bottom w:val="single" w:color="auto" w:sz="4" w:space="0"/>
              <w:right w:val="single" w:color="auto" w:sz="4" w:space="0"/>
            </w:tcBorders>
            <w:noWrap w:val="0"/>
            <w:vAlign w:val="center"/>
          </w:tcPr>
          <w:p w14:paraId="7D737996">
            <w:pPr>
              <w:snapToGrid w:val="0"/>
              <w:spacing w:line="288" w:lineRule="auto"/>
              <w:rPr>
                <w:rFonts w:ascii="宋体" w:hAnsi="宋体"/>
                <w:szCs w:val="21"/>
              </w:rPr>
            </w:pPr>
          </w:p>
        </w:tc>
      </w:tr>
      <w:tr w14:paraId="25A4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2" w:hRule="atLeast"/>
        </w:trPr>
        <w:tc>
          <w:tcPr>
            <w:tcW w:w="567" w:type="dxa"/>
            <w:vMerge w:val="restart"/>
            <w:tcBorders>
              <w:left w:val="single" w:color="auto" w:sz="4" w:space="0"/>
              <w:right w:val="single" w:color="auto" w:sz="4" w:space="0"/>
            </w:tcBorders>
            <w:noWrap w:val="0"/>
            <w:vAlign w:val="center"/>
          </w:tcPr>
          <w:p w14:paraId="22B20B7A">
            <w:pPr>
              <w:snapToGrid w:val="0"/>
              <w:spacing w:line="288" w:lineRule="auto"/>
              <w:jc w:val="center"/>
              <w:rPr>
                <w:rFonts w:ascii="宋体" w:hAnsi="宋体"/>
                <w:szCs w:val="21"/>
              </w:rPr>
            </w:pPr>
            <w:r>
              <w:rPr>
                <w:rFonts w:hint="eastAsia" w:ascii="宋体" w:hAnsi="宋体"/>
                <w:szCs w:val="21"/>
              </w:rPr>
              <w:t>3</w:t>
            </w:r>
          </w:p>
        </w:tc>
        <w:tc>
          <w:tcPr>
            <w:tcW w:w="1277" w:type="dxa"/>
            <w:vMerge w:val="restart"/>
            <w:tcBorders>
              <w:left w:val="single" w:color="auto" w:sz="4" w:space="0"/>
              <w:right w:val="single" w:color="auto" w:sz="4" w:space="0"/>
            </w:tcBorders>
            <w:noWrap w:val="0"/>
            <w:vAlign w:val="center"/>
          </w:tcPr>
          <w:p w14:paraId="28C08964">
            <w:pPr>
              <w:snapToGrid w:val="0"/>
              <w:spacing w:line="240" w:lineRule="exact"/>
              <w:jc w:val="center"/>
              <w:rPr>
                <w:rFonts w:ascii="宋体" w:hAnsi="宋体"/>
                <w:bCs/>
                <w:szCs w:val="21"/>
              </w:rPr>
            </w:pPr>
            <w:r>
              <w:rPr>
                <w:rFonts w:hint="eastAsia" w:ascii="宋体" w:hAnsi="宋体"/>
                <w:bCs/>
                <w:szCs w:val="21"/>
              </w:rPr>
              <w:t>天花</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C5E1EB8">
            <w:pPr>
              <w:snapToGrid w:val="0"/>
              <w:spacing w:line="288" w:lineRule="auto"/>
              <w:rPr>
                <w:rFonts w:ascii="黑体" w:hAnsi="黑体" w:eastAsia="黑体"/>
                <w:szCs w:val="21"/>
              </w:rPr>
            </w:pPr>
            <w:r>
              <w:rPr>
                <w:rFonts w:ascii="黑体" w:hAnsi="黑体" w:eastAsia="黑体"/>
                <w:szCs w:val="21"/>
              </w:rPr>
              <w:t>一般观感</w:t>
            </w:r>
          </w:p>
          <w:p w14:paraId="5F641288">
            <w:pPr>
              <w:pStyle w:val="24"/>
              <w:snapToGrid w:val="0"/>
              <w:spacing w:line="288" w:lineRule="auto"/>
              <w:ind w:left="39"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木质梁架制作粗糙，安装不精细；</w:t>
            </w:r>
          </w:p>
          <w:p w14:paraId="26536CF1">
            <w:pPr>
              <w:pStyle w:val="24"/>
              <w:snapToGrid w:val="0"/>
              <w:spacing w:line="288" w:lineRule="auto"/>
              <w:ind w:left="39"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天花藻井造型与各种终端设备口未做整体规划，位置零乱影响美观，与面板交接不严；检修口未做收边处理或收口粗笨不协调。</w:t>
            </w:r>
          </w:p>
          <w:p w14:paraId="169337E0">
            <w:pPr>
              <w:pStyle w:val="24"/>
              <w:snapToGrid w:val="0"/>
              <w:spacing w:line="288" w:lineRule="auto"/>
              <w:ind w:left="39"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是否采用成品构件的检修口、检修孔；</w:t>
            </w:r>
          </w:p>
          <w:p w14:paraId="16A8C5D4">
            <w:pPr>
              <w:pStyle w:val="24"/>
              <w:snapToGrid w:val="0"/>
              <w:spacing w:line="288" w:lineRule="auto"/>
              <w:ind w:left="39" w:firstLine="0" w:firstLineChars="0"/>
              <w:rPr>
                <w:rFonts w:ascii="宋体" w:hAnsi="宋体"/>
                <w:szCs w:val="21"/>
              </w:rPr>
            </w:pPr>
            <w:r>
              <w:rPr>
                <w:rFonts w:hint="eastAsia" w:ascii="宋体" w:hAnsi="宋体"/>
                <w:szCs w:val="21"/>
              </w:rPr>
              <w:t>阴阳角不方正，收口收边不严密、不顺直，变形明显。</w:t>
            </w:r>
          </w:p>
          <w:p w14:paraId="000877BF">
            <w:pPr>
              <w:pStyle w:val="24"/>
              <w:snapToGrid w:val="0"/>
              <w:spacing w:line="288" w:lineRule="auto"/>
              <w:ind w:left="39"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天花内防火涂料涂刷不匀，有裸线现象，吊杆超长；龙骨设置间距不符合规范要求；电气设备和龙骨混用吊杆。</w:t>
            </w:r>
          </w:p>
        </w:tc>
        <w:tc>
          <w:tcPr>
            <w:tcW w:w="2409" w:type="dxa"/>
            <w:vMerge w:val="restart"/>
            <w:tcBorders>
              <w:top w:val="single" w:color="auto" w:sz="4" w:space="0"/>
              <w:left w:val="single" w:color="auto" w:sz="4" w:space="0"/>
              <w:right w:val="single" w:color="auto" w:sz="4" w:space="0"/>
            </w:tcBorders>
            <w:noWrap w:val="0"/>
            <w:vAlign w:val="center"/>
          </w:tcPr>
          <w:p w14:paraId="77ED740C">
            <w:pPr>
              <w:pStyle w:val="2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装饰装修分值按公共建筑装饰类（公共建筑装饰工程）执行；</w:t>
            </w:r>
          </w:p>
          <w:p w14:paraId="03E3C980">
            <w:pPr>
              <w:pStyle w:val="2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其它问题项每项扣0.5</w:t>
            </w:r>
            <w:r>
              <w:rPr>
                <w:rFonts w:hint="eastAsia" w:ascii="微软雅黑" w:hAnsi="微软雅黑" w:eastAsia="微软雅黑" w:cs="微软雅黑"/>
                <w:szCs w:val="21"/>
              </w:rPr>
              <w:t>～</w:t>
            </w:r>
            <w:r>
              <w:rPr>
                <w:rFonts w:hint="eastAsia" w:ascii="宋体" w:hAnsi="宋体"/>
                <w:szCs w:val="21"/>
              </w:rPr>
              <w:t>1分。</w:t>
            </w:r>
          </w:p>
        </w:tc>
        <w:tc>
          <w:tcPr>
            <w:tcW w:w="1701" w:type="dxa"/>
            <w:vMerge w:val="restart"/>
            <w:tcBorders>
              <w:left w:val="single" w:color="auto" w:sz="4" w:space="0"/>
              <w:right w:val="single" w:color="auto" w:sz="4" w:space="0"/>
            </w:tcBorders>
            <w:noWrap w:val="0"/>
            <w:vAlign w:val="center"/>
          </w:tcPr>
          <w:p w14:paraId="57E89238">
            <w:pPr>
              <w:pStyle w:val="24"/>
              <w:snapToGrid w:val="0"/>
              <w:spacing w:line="288" w:lineRule="auto"/>
              <w:ind w:firstLine="0" w:firstLineChars="0"/>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涉及工程质量安全、强条项的内容为必查项；</w:t>
            </w:r>
          </w:p>
          <w:p w14:paraId="1AD457D0">
            <w:pPr>
              <w:pStyle w:val="24"/>
              <w:snapToGrid w:val="0"/>
              <w:spacing w:line="288" w:lineRule="auto"/>
              <w:ind w:firstLine="0" w:firstLineChars="0"/>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涉及使用功能的内容为必查项。</w:t>
            </w:r>
          </w:p>
        </w:tc>
        <w:tc>
          <w:tcPr>
            <w:tcW w:w="851" w:type="dxa"/>
            <w:vMerge w:val="restart"/>
            <w:tcBorders>
              <w:left w:val="single" w:color="auto" w:sz="4" w:space="0"/>
              <w:right w:val="single" w:color="auto" w:sz="4" w:space="0"/>
            </w:tcBorders>
            <w:noWrap w:val="0"/>
            <w:vAlign w:val="center"/>
          </w:tcPr>
          <w:p w14:paraId="65033655">
            <w:pPr>
              <w:snapToGrid w:val="0"/>
              <w:spacing w:line="288" w:lineRule="auto"/>
              <w:jc w:val="center"/>
              <w:rPr>
                <w:rFonts w:ascii="宋体" w:hAnsi="宋体"/>
                <w:szCs w:val="21"/>
              </w:rPr>
            </w:pPr>
            <w:r>
              <w:rPr>
                <w:rFonts w:hint="eastAsia" w:ascii="宋体" w:hAnsi="宋体"/>
                <w:szCs w:val="21"/>
              </w:rPr>
              <w:t>15分</w:t>
            </w:r>
          </w:p>
        </w:tc>
        <w:tc>
          <w:tcPr>
            <w:tcW w:w="2268" w:type="dxa"/>
            <w:vMerge w:val="restart"/>
            <w:tcBorders>
              <w:top w:val="single" w:color="auto" w:sz="4" w:space="0"/>
              <w:left w:val="single" w:color="auto" w:sz="4" w:space="0"/>
              <w:right w:val="single" w:color="auto" w:sz="4" w:space="0"/>
            </w:tcBorders>
            <w:noWrap w:val="0"/>
            <w:vAlign w:val="center"/>
          </w:tcPr>
          <w:p w14:paraId="5B54B9EB">
            <w:pPr>
              <w:snapToGrid w:val="0"/>
              <w:spacing w:line="288" w:lineRule="auto"/>
              <w:rPr>
                <w:rFonts w:ascii="宋体" w:hAnsi="宋体"/>
                <w:szCs w:val="21"/>
              </w:rPr>
            </w:pPr>
            <w:r>
              <w:rPr>
                <w:rFonts w:hint="eastAsia" w:ascii="宋体" w:hAnsi="宋体"/>
                <w:szCs w:val="21"/>
              </w:rPr>
              <w:t>结合图纸、资料查工程实体</w:t>
            </w:r>
          </w:p>
        </w:tc>
      </w:tr>
      <w:tr w14:paraId="5DCC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trPr>
        <w:tc>
          <w:tcPr>
            <w:tcW w:w="567" w:type="dxa"/>
            <w:vMerge w:val="continue"/>
            <w:tcBorders>
              <w:left w:val="single" w:color="auto" w:sz="4" w:space="0"/>
              <w:right w:val="single" w:color="auto" w:sz="4" w:space="0"/>
            </w:tcBorders>
            <w:noWrap w:val="0"/>
            <w:vAlign w:val="center"/>
          </w:tcPr>
          <w:p w14:paraId="22F2E2F5">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05BF19AF">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149194A1">
            <w:pPr>
              <w:snapToGrid w:val="0"/>
              <w:spacing w:line="288" w:lineRule="auto"/>
              <w:rPr>
                <w:rFonts w:ascii="黑体" w:hAnsi="黑体" w:eastAsia="黑体"/>
                <w:szCs w:val="21"/>
              </w:rPr>
            </w:pPr>
            <w:r>
              <w:rPr>
                <w:rFonts w:ascii="黑体" w:hAnsi="黑体" w:eastAsia="黑体"/>
                <w:szCs w:val="21"/>
              </w:rPr>
              <w:t>天花藻井</w:t>
            </w:r>
          </w:p>
          <w:p w14:paraId="07B45AC2">
            <w:pPr>
              <w:snapToGrid w:val="0"/>
              <w:spacing w:line="288" w:lineRule="auto"/>
              <w:rPr>
                <w:rFonts w:ascii="宋体" w:hAnsi="宋体"/>
                <w:szCs w:val="21"/>
              </w:rPr>
            </w:pPr>
            <w:r>
              <w:rPr>
                <w:rFonts w:ascii="宋体" w:hAnsi="宋体"/>
                <w:szCs w:val="21"/>
              </w:rPr>
              <w:t>1.</w:t>
            </w:r>
            <w:r>
              <w:rPr>
                <w:rFonts w:hint="eastAsia" w:ascii="宋体" w:hAnsi="宋体"/>
                <w:szCs w:val="21"/>
              </w:rPr>
              <w:t>天花整体欠平整，表面欠光滑，天花板拼缝不严密，有瑕疵；</w:t>
            </w:r>
          </w:p>
          <w:p w14:paraId="1C61BE4F">
            <w:pPr>
              <w:snapToGrid w:val="0"/>
              <w:spacing w:line="288" w:lineRule="auto"/>
              <w:rPr>
                <w:rFonts w:ascii="宋体" w:hAnsi="宋体"/>
                <w:szCs w:val="21"/>
              </w:rPr>
            </w:pPr>
            <w:r>
              <w:rPr>
                <w:rFonts w:hint="eastAsia" w:ascii="宋体" w:hAnsi="宋体"/>
                <w:szCs w:val="21"/>
              </w:rPr>
              <w:t>2.各部件制作工艺粗糙，安装不符合要求；</w:t>
            </w:r>
          </w:p>
          <w:p w14:paraId="51064BA4">
            <w:pPr>
              <w:snapToGrid w:val="0"/>
              <w:spacing w:line="288" w:lineRule="auto"/>
              <w:rPr>
                <w:rFonts w:ascii="宋体" w:hAnsi="宋体"/>
                <w:szCs w:val="21"/>
              </w:rPr>
            </w:pPr>
            <w:r>
              <w:rPr>
                <w:rFonts w:hint="eastAsia" w:ascii="宋体" w:hAnsi="宋体"/>
                <w:szCs w:val="21"/>
              </w:rPr>
              <w:t>3.迭级造型不平直，侧板不通顺垂直；</w:t>
            </w:r>
          </w:p>
          <w:p w14:paraId="7F8327C8">
            <w:pPr>
              <w:snapToGrid w:val="0"/>
              <w:spacing w:line="288" w:lineRule="auto"/>
              <w:rPr>
                <w:rFonts w:ascii="宋体" w:hAnsi="宋体"/>
                <w:szCs w:val="21"/>
              </w:rPr>
            </w:pPr>
            <w:r>
              <w:rPr>
                <w:rFonts w:hint="eastAsia" w:ascii="宋体" w:hAnsi="宋体"/>
                <w:szCs w:val="21"/>
              </w:rPr>
              <w:t>4.图案花饰不连续，接缝不严密、不均匀；</w:t>
            </w:r>
          </w:p>
          <w:p w14:paraId="15C590F2">
            <w:pPr>
              <w:snapToGrid w:val="0"/>
              <w:spacing w:line="288" w:lineRule="auto"/>
              <w:rPr>
                <w:rFonts w:ascii="宋体" w:hAnsi="宋体"/>
                <w:szCs w:val="21"/>
              </w:rPr>
            </w:pPr>
            <w:r>
              <w:rPr>
                <w:rFonts w:hint="eastAsia" w:ascii="宋体" w:hAnsi="宋体"/>
                <w:szCs w:val="21"/>
              </w:rPr>
              <w:t>5.明龙骨不顺直，接缝不严密，设备口不居板中；</w:t>
            </w:r>
          </w:p>
          <w:p w14:paraId="1E1AB4CB">
            <w:pPr>
              <w:snapToGrid w:val="0"/>
              <w:spacing w:line="288" w:lineRule="auto"/>
              <w:rPr>
                <w:rFonts w:ascii="宋体" w:hAnsi="宋体"/>
                <w:szCs w:val="21"/>
              </w:rPr>
            </w:pPr>
            <w:r>
              <w:rPr>
                <w:rFonts w:hint="eastAsia" w:ascii="宋体" w:hAnsi="宋体"/>
                <w:szCs w:val="21"/>
              </w:rPr>
              <w:t>6.边龙骨变形，与板面接触不严密。</w:t>
            </w:r>
          </w:p>
        </w:tc>
        <w:tc>
          <w:tcPr>
            <w:tcW w:w="2409" w:type="dxa"/>
            <w:vMerge w:val="continue"/>
            <w:tcBorders>
              <w:left w:val="single" w:color="auto" w:sz="4" w:space="0"/>
              <w:right w:val="single" w:color="auto" w:sz="4" w:space="0"/>
            </w:tcBorders>
            <w:noWrap w:val="0"/>
            <w:vAlign w:val="center"/>
          </w:tcPr>
          <w:p w14:paraId="50BBD29E">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60758287">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0B36DAC1">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36FF3F6D">
            <w:pPr>
              <w:snapToGrid w:val="0"/>
              <w:spacing w:line="288" w:lineRule="auto"/>
              <w:rPr>
                <w:rFonts w:ascii="宋体" w:hAnsi="宋体"/>
                <w:szCs w:val="21"/>
              </w:rPr>
            </w:pPr>
          </w:p>
        </w:tc>
      </w:tr>
      <w:tr w14:paraId="73C2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567" w:type="dxa"/>
            <w:vMerge w:val="continue"/>
            <w:tcBorders>
              <w:left w:val="single" w:color="auto" w:sz="4" w:space="0"/>
              <w:right w:val="single" w:color="auto" w:sz="4" w:space="0"/>
            </w:tcBorders>
            <w:noWrap w:val="0"/>
            <w:vAlign w:val="center"/>
          </w:tcPr>
          <w:p w14:paraId="714938F9">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1FE5013B">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43017B0E">
            <w:pPr>
              <w:snapToGrid w:val="0"/>
              <w:spacing w:line="288" w:lineRule="auto"/>
              <w:rPr>
                <w:rFonts w:ascii="黑体" w:hAnsi="黑体" w:eastAsia="黑体"/>
                <w:szCs w:val="21"/>
              </w:rPr>
            </w:pPr>
            <w:r>
              <w:rPr>
                <w:rFonts w:ascii="黑体" w:hAnsi="黑体" w:eastAsia="黑体"/>
                <w:szCs w:val="21"/>
              </w:rPr>
              <w:t>其它</w:t>
            </w:r>
          </w:p>
          <w:p w14:paraId="44412A5F">
            <w:pPr>
              <w:snapToGrid w:val="0"/>
              <w:spacing w:line="288" w:lineRule="auto"/>
              <w:rPr>
                <w:rFonts w:ascii="宋体" w:hAnsi="宋体"/>
                <w:szCs w:val="21"/>
              </w:rPr>
            </w:pPr>
            <w:r>
              <w:rPr>
                <w:rFonts w:hint="eastAsia" w:ascii="宋体" w:hAnsi="宋体"/>
                <w:szCs w:val="21"/>
              </w:rPr>
              <w:t>1.其它工程质量问题按公共建筑装饰类（公共建筑装饰工程）执行。</w:t>
            </w:r>
          </w:p>
        </w:tc>
        <w:tc>
          <w:tcPr>
            <w:tcW w:w="2409" w:type="dxa"/>
            <w:vMerge w:val="continue"/>
            <w:tcBorders>
              <w:left w:val="single" w:color="auto" w:sz="4" w:space="0"/>
              <w:right w:val="single" w:color="auto" w:sz="4" w:space="0"/>
            </w:tcBorders>
            <w:noWrap w:val="0"/>
            <w:vAlign w:val="center"/>
          </w:tcPr>
          <w:p w14:paraId="5AD2BF83">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0EA058BF">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046A5F9B">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77AF4FB0">
            <w:pPr>
              <w:snapToGrid w:val="0"/>
              <w:spacing w:line="288" w:lineRule="auto"/>
              <w:rPr>
                <w:rFonts w:ascii="宋体" w:hAnsi="宋体"/>
                <w:szCs w:val="21"/>
              </w:rPr>
            </w:pPr>
          </w:p>
        </w:tc>
      </w:tr>
      <w:tr w14:paraId="2234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67" w:type="dxa"/>
            <w:vMerge w:val="restart"/>
            <w:tcBorders>
              <w:left w:val="single" w:color="auto" w:sz="4" w:space="0"/>
              <w:right w:val="single" w:color="auto" w:sz="4" w:space="0"/>
            </w:tcBorders>
            <w:noWrap w:val="0"/>
            <w:vAlign w:val="center"/>
          </w:tcPr>
          <w:p w14:paraId="66FD7F9C">
            <w:pPr>
              <w:snapToGrid w:val="0"/>
              <w:spacing w:line="288" w:lineRule="auto"/>
              <w:jc w:val="center"/>
              <w:rPr>
                <w:rFonts w:ascii="宋体" w:hAnsi="宋体"/>
                <w:szCs w:val="21"/>
              </w:rPr>
            </w:pPr>
            <w:r>
              <w:rPr>
                <w:rFonts w:hint="eastAsia" w:ascii="宋体" w:hAnsi="宋体"/>
                <w:szCs w:val="21"/>
              </w:rPr>
              <w:t>4</w:t>
            </w:r>
          </w:p>
        </w:tc>
        <w:tc>
          <w:tcPr>
            <w:tcW w:w="1277" w:type="dxa"/>
            <w:vMerge w:val="restart"/>
            <w:tcBorders>
              <w:left w:val="single" w:color="auto" w:sz="4" w:space="0"/>
              <w:right w:val="single" w:color="auto" w:sz="4" w:space="0"/>
            </w:tcBorders>
            <w:noWrap w:val="0"/>
            <w:vAlign w:val="center"/>
          </w:tcPr>
          <w:p w14:paraId="6CDC2E22">
            <w:pPr>
              <w:snapToGrid w:val="0"/>
              <w:spacing w:line="240" w:lineRule="exact"/>
              <w:jc w:val="center"/>
              <w:rPr>
                <w:rFonts w:ascii="宋体" w:hAnsi="宋体"/>
                <w:szCs w:val="21"/>
              </w:rPr>
            </w:pPr>
            <w:r>
              <w:rPr>
                <w:rFonts w:ascii="宋体" w:hAnsi="宋体"/>
                <w:szCs w:val="21"/>
              </w:rPr>
              <w:t>墙柱面</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0C3A2DE7">
            <w:pPr>
              <w:snapToGrid w:val="0"/>
              <w:spacing w:line="288" w:lineRule="auto"/>
              <w:rPr>
                <w:rFonts w:ascii="黑体" w:hAnsi="黑体" w:eastAsia="黑体"/>
                <w:szCs w:val="21"/>
              </w:rPr>
            </w:pPr>
            <w:r>
              <w:rPr>
                <w:rFonts w:ascii="黑体" w:hAnsi="黑体" w:eastAsia="黑体"/>
                <w:szCs w:val="21"/>
              </w:rPr>
              <w:t>一般观感</w:t>
            </w:r>
          </w:p>
          <w:p w14:paraId="0449993E">
            <w:pPr>
              <w:snapToGrid w:val="0"/>
              <w:spacing w:line="288" w:lineRule="auto"/>
              <w:rPr>
                <w:szCs w:val="21"/>
              </w:rPr>
            </w:pPr>
            <w:r>
              <w:rPr>
                <w:rFonts w:hint="eastAsia"/>
                <w:szCs w:val="21"/>
              </w:rPr>
              <w:t>1.柱构架制作粗糙，安装不精细；</w:t>
            </w:r>
          </w:p>
          <w:p w14:paraId="729D9238">
            <w:pPr>
              <w:snapToGrid w:val="0"/>
              <w:spacing w:line="288" w:lineRule="auto"/>
              <w:rPr>
                <w:szCs w:val="21"/>
              </w:rPr>
            </w:pPr>
            <w:r>
              <w:rPr>
                <w:rFonts w:hint="eastAsia"/>
                <w:szCs w:val="21"/>
              </w:rPr>
              <w:t>2.墙面阴阳角不方正、不顺直；电气面板与墙面交接不严密；横线条高于竖线条。</w:t>
            </w:r>
          </w:p>
        </w:tc>
        <w:tc>
          <w:tcPr>
            <w:tcW w:w="2409" w:type="dxa"/>
            <w:vMerge w:val="restart"/>
            <w:tcBorders>
              <w:top w:val="single" w:color="auto" w:sz="4" w:space="0"/>
              <w:left w:val="single" w:color="auto" w:sz="4" w:space="0"/>
              <w:right w:val="single" w:color="auto" w:sz="4" w:space="0"/>
            </w:tcBorders>
            <w:noWrap w:val="0"/>
            <w:vAlign w:val="center"/>
          </w:tcPr>
          <w:p w14:paraId="776E0F64">
            <w:pPr>
              <w:snapToGrid w:val="0"/>
              <w:spacing w:line="288" w:lineRule="auto"/>
              <w:ind w:leftChars="-1" w:hanging="2"/>
              <w:rPr>
                <w:rFonts w:ascii="Calibri" w:hAnsi="Calibri"/>
                <w:szCs w:val="21"/>
              </w:rPr>
            </w:pPr>
            <w:r>
              <w:rPr>
                <w:rFonts w:hint="eastAsia" w:ascii="Calibri" w:hAnsi="Calibri"/>
                <w:szCs w:val="21"/>
              </w:rPr>
              <w:t>1.装饰装修分值按公共建筑装饰类</w:t>
            </w:r>
            <w:r>
              <w:rPr>
                <w:rFonts w:hint="eastAsia" w:ascii="宋体" w:hAnsi="宋体"/>
                <w:szCs w:val="21"/>
              </w:rPr>
              <w:t>（公共建筑装饰工程）</w:t>
            </w:r>
            <w:r>
              <w:rPr>
                <w:rFonts w:hint="eastAsia" w:ascii="Calibri" w:hAnsi="Calibri"/>
                <w:szCs w:val="21"/>
              </w:rPr>
              <w:t>执行；</w:t>
            </w:r>
          </w:p>
          <w:p w14:paraId="4C4591BA">
            <w:pPr>
              <w:snapToGrid w:val="0"/>
              <w:spacing w:line="288" w:lineRule="auto"/>
              <w:ind w:left="29" w:hanging="29" w:hangingChars="14"/>
              <w:rPr>
                <w:rFonts w:ascii="Calibri" w:hAnsi="Calibri"/>
                <w:szCs w:val="21"/>
              </w:rPr>
            </w:pPr>
            <w:r>
              <w:rPr>
                <w:rFonts w:hint="eastAsia" w:ascii="Calibri" w:hAnsi="Calibri"/>
                <w:szCs w:val="21"/>
              </w:rPr>
              <w:t>2</w:t>
            </w:r>
            <w:r>
              <w:rPr>
                <w:szCs w:val="21"/>
              </w:rPr>
              <w:t>.</w:t>
            </w:r>
            <w:r>
              <w:rPr>
                <w:rFonts w:hint="eastAsia" w:ascii="Calibri" w:hAnsi="Calibri"/>
                <w:szCs w:val="21"/>
              </w:rPr>
              <w:t>其它问题项每项扣0.5</w:t>
            </w:r>
            <w:r>
              <w:rPr>
                <w:rFonts w:hint="eastAsia" w:ascii="微软雅黑" w:hAnsi="微软雅黑" w:eastAsia="微软雅黑" w:cs="微软雅黑"/>
                <w:szCs w:val="21"/>
              </w:rPr>
              <w:t>～</w:t>
            </w:r>
            <w:r>
              <w:rPr>
                <w:rFonts w:hint="eastAsia" w:ascii="Calibri" w:hAnsi="Calibri"/>
                <w:szCs w:val="21"/>
              </w:rPr>
              <w:t>1分。</w:t>
            </w:r>
          </w:p>
        </w:tc>
        <w:tc>
          <w:tcPr>
            <w:tcW w:w="1701" w:type="dxa"/>
            <w:vMerge w:val="restart"/>
            <w:tcBorders>
              <w:left w:val="single" w:color="auto" w:sz="4" w:space="0"/>
              <w:right w:val="single" w:color="auto" w:sz="4" w:space="0"/>
            </w:tcBorders>
            <w:noWrap w:val="0"/>
            <w:vAlign w:val="center"/>
          </w:tcPr>
          <w:p w14:paraId="7F3D9807">
            <w:pPr>
              <w:pStyle w:val="24"/>
              <w:snapToGrid w:val="0"/>
              <w:spacing w:line="288" w:lineRule="auto"/>
              <w:ind w:firstLine="0" w:firstLineChars="0"/>
              <w:rPr>
                <w:szCs w:val="21"/>
              </w:rPr>
            </w:pPr>
            <w:r>
              <w:rPr>
                <w:rFonts w:hint="eastAsia"/>
                <w:szCs w:val="21"/>
              </w:rPr>
              <w:t>1</w:t>
            </w:r>
            <w:r>
              <w:rPr>
                <w:szCs w:val="21"/>
              </w:rPr>
              <w:t>.</w:t>
            </w:r>
            <w:r>
              <w:rPr>
                <w:rFonts w:hint="eastAsia"/>
                <w:szCs w:val="21"/>
              </w:rPr>
              <w:t>涉及工程质量安全、强条项的内容为必查项。</w:t>
            </w:r>
          </w:p>
          <w:p w14:paraId="1DC11230">
            <w:pPr>
              <w:pStyle w:val="24"/>
              <w:snapToGrid w:val="0"/>
              <w:spacing w:line="288" w:lineRule="auto"/>
              <w:ind w:firstLine="0" w:firstLineChars="0"/>
              <w:rPr>
                <w:rFonts w:hint="eastAsia"/>
                <w:szCs w:val="21"/>
              </w:rPr>
            </w:pPr>
            <w:r>
              <w:rPr>
                <w:rFonts w:hint="eastAsia"/>
                <w:szCs w:val="21"/>
              </w:rPr>
              <w:t>2</w:t>
            </w:r>
            <w:r>
              <w:rPr>
                <w:szCs w:val="21"/>
              </w:rPr>
              <w:t>.</w:t>
            </w:r>
            <w:r>
              <w:rPr>
                <w:rFonts w:hint="eastAsia"/>
                <w:szCs w:val="21"/>
              </w:rPr>
              <w:t>涉及使用功能的内容为必查项。</w:t>
            </w:r>
          </w:p>
        </w:tc>
        <w:tc>
          <w:tcPr>
            <w:tcW w:w="851" w:type="dxa"/>
            <w:vMerge w:val="restart"/>
            <w:tcBorders>
              <w:left w:val="single" w:color="auto" w:sz="4" w:space="0"/>
              <w:right w:val="single" w:color="auto" w:sz="4" w:space="0"/>
            </w:tcBorders>
            <w:noWrap w:val="0"/>
            <w:vAlign w:val="center"/>
          </w:tcPr>
          <w:p w14:paraId="257EEDBF">
            <w:pPr>
              <w:snapToGrid w:val="0"/>
              <w:spacing w:line="288" w:lineRule="auto"/>
              <w:jc w:val="center"/>
              <w:rPr>
                <w:rFonts w:ascii="宋体" w:hAnsi="宋体"/>
                <w:szCs w:val="21"/>
              </w:rPr>
            </w:pPr>
            <w:r>
              <w:rPr>
                <w:rFonts w:hint="eastAsia" w:ascii="宋体" w:hAnsi="宋体"/>
                <w:szCs w:val="21"/>
              </w:rPr>
              <w:t>20分</w:t>
            </w:r>
          </w:p>
        </w:tc>
        <w:tc>
          <w:tcPr>
            <w:tcW w:w="2268" w:type="dxa"/>
            <w:vMerge w:val="restart"/>
            <w:tcBorders>
              <w:top w:val="single" w:color="auto" w:sz="4" w:space="0"/>
              <w:left w:val="single" w:color="auto" w:sz="4" w:space="0"/>
              <w:right w:val="single" w:color="auto" w:sz="4" w:space="0"/>
            </w:tcBorders>
            <w:noWrap w:val="0"/>
            <w:vAlign w:val="center"/>
          </w:tcPr>
          <w:p w14:paraId="30AD51AD">
            <w:pPr>
              <w:snapToGrid w:val="0"/>
              <w:spacing w:line="288" w:lineRule="auto"/>
              <w:rPr>
                <w:szCs w:val="21"/>
              </w:rPr>
            </w:pPr>
            <w:r>
              <w:rPr>
                <w:rFonts w:hint="eastAsia" w:ascii="宋体" w:hAnsi="宋体"/>
                <w:szCs w:val="21"/>
              </w:rPr>
              <w:t>结合图纸、资料查工程实体</w:t>
            </w:r>
          </w:p>
        </w:tc>
      </w:tr>
      <w:tr w14:paraId="0CC3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567" w:type="dxa"/>
            <w:vMerge w:val="continue"/>
            <w:tcBorders>
              <w:left w:val="single" w:color="auto" w:sz="4" w:space="0"/>
              <w:right w:val="single" w:color="auto" w:sz="4" w:space="0"/>
            </w:tcBorders>
            <w:noWrap w:val="0"/>
            <w:vAlign w:val="center"/>
          </w:tcPr>
          <w:p w14:paraId="4D10D051">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5E651947">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74B6339">
            <w:pPr>
              <w:snapToGrid w:val="0"/>
              <w:spacing w:line="288" w:lineRule="auto"/>
              <w:rPr>
                <w:rFonts w:ascii="黑体" w:hAnsi="黑体" w:eastAsia="黑体"/>
                <w:szCs w:val="21"/>
              </w:rPr>
            </w:pPr>
            <w:r>
              <w:rPr>
                <w:rFonts w:ascii="黑体" w:hAnsi="黑体" w:eastAsia="黑体"/>
                <w:szCs w:val="21"/>
              </w:rPr>
              <w:t>砌筑墙砖工程</w:t>
            </w:r>
          </w:p>
          <w:p w14:paraId="3420EA83">
            <w:pPr>
              <w:snapToGrid w:val="0"/>
              <w:spacing w:line="288" w:lineRule="auto"/>
              <w:rPr>
                <w:szCs w:val="21"/>
              </w:rPr>
            </w:pPr>
            <w:r>
              <w:rPr>
                <w:rFonts w:hint="eastAsia"/>
                <w:szCs w:val="21"/>
              </w:rPr>
              <w:t>1</w:t>
            </w:r>
            <w:r>
              <w:rPr>
                <w:szCs w:val="21"/>
              </w:rPr>
              <w:t>.</w:t>
            </w:r>
            <w:r>
              <w:rPr>
                <w:rFonts w:hint="eastAsia"/>
                <w:szCs w:val="21"/>
              </w:rPr>
              <w:t>砖的品种、规格、质量不符合要求；</w:t>
            </w:r>
          </w:p>
          <w:p w14:paraId="79A02BB0">
            <w:pPr>
              <w:snapToGrid w:val="0"/>
              <w:spacing w:line="288" w:lineRule="auto"/>
              <w:rPr>
                <w:szCs w:val="21"/>
              </w:rPr>
            </w:pPr>
            <w:r>
              <w:rPr>
                <w:rFonts w:hint="eastAsia"/>
                <w:szCs w:val="21"/>
              </w:rPr>
              <w:t>2.墙面不清洁美观，缺棱断角；</w:t>
            </w:r>
          </w:p>
          <w:p w14:paraId="160DFB3F">
            <w:pPr>
              <w:snapToGrid w:val="0"/>
              <w:spacing w:line="288" w:lineRule="auto"/>
              <w:rPr>
                <w:szCs w:val="21"/>
              </w:rPr>
            </w:pPr>
            <w:r>
              <w:rPr>
                <w:rFonts w:hint="eastAsia"/>
                <w:szCs w:val="21"/>
              </w:rPr>
              <w:t>3.砖的组砌方式不正确；</w:t>
            </w:r>
          </w:p>
          <w:p w14:paraId="237D8EC8">
            <w:pPr>
              <w:snapToGrid w:val="0"/>
              <w:spacing w:line="288" w:lineRule="auto"/>
              <w:rPr>
                <w:szCs w:val="21"/>
              </w:rPr>
            </w:pPr>
            <w:r>
              <w:rPr>
                <w:szCs w:val="21"/>
              </w:rPr>
              <w:t>4.</w:t>
            </w:r>
            <w:r>
              <w:rPr>
                <w:rFonts w:hint="eastAsia"/>
                <w:szCs w:val="21"/>
              </w:rPr>
              <w:t>灰浆的品种不符合设计要求，砌体灰浆不密实饱满，砌体水平灰缝的灰浆饱满度不符合要求，不横平竖直，深浅不一。</w:t>
            </w:r>
          </w:p>
        </w:tc>
        <w:tc>
          <w:tcPr>
            <w:tcW w:w="2409" w:type="dxa"/>
            <w:vMerge w:val="continue"/>
            <w:tcBorders>
              <w:left w:val="single" w:color="auto" w:sz="4" w:space="0"/>
              <w:right w:val="single" w:color="auto" w:sz="4" w:space="0"/>
            </w:tcBorders>
            <w:noWrap w:val="0"/>
            <w:vAlign w:val="center"/>
          </w:tcPr>
          <w:p w14:paraId="54EA4459">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5D9C4142">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676B913D">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0DBA4525">
            <w:pPr>
              <w:snapToGrid w:val="0"/>
              <w:spacing w:line="288" w:lineRule="auto"/>
              <w:rPr>
                <w:szCs w:val="21"/>
              </w:rPr>
            </w:pPr>
          </w:p>
        </w:tc>
      </w:tr>
      <w:tr w14:paraId="3383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7" w:hRule="atLeast"/>
        </w:trPr>
        <w:tc>
          <w:tcPr>
            <w:tcW w:w="567" w:type="dxa"/>
            <w:vMerge w:val="continue"/>
            <w:tcBorders>
              <w:left w:val="single" w:color="auto" w:sz="4" w:space="0"/>
              <w:right w:val="single" w:color="auto" w:sz="4" w:space="0"/>
            </w:tcBorders>
            <w:noWrap w:val="0"/>
            <w:vAlign w:val="center"/>
          </w:tcPr>
          <w:p w14:paraId="2789F7F8">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4A2C8352">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2DC5A97F">
            <w:pPr>
              <w:snapToGrid w:val="0"/>
              <w:spacing w:line="288" w:lineRule="auto"/>
              <w:rPr>
                <w:rFonts w:ascii="黑体" w:hAnsi="黑体" w:eastAsia="黑体"/>
                <w:szCs w:val="21"/>
              </w:rPr>
            </w:pPr>
            <w:r>
              <w:rPr>
                <w:rFonts w:ascii="黑体" w:hAnsi="黑体" w:eastAsia="黑体"/>
                <w:szCs w:val="21"/>
              </w:rPr>
              <w:t>门窗安装</w:t>
            </w:r>
          </w:p>
          <w:p w14:paraId="79B6A3DA">
            <w:pPr>
              <w:pStyle w:val="24"/>
              <w:snapToGrid w:val="0"/>
              <w:spacing w:line="288" w:lineRule="auto"/>
              <w:ind w:firstLine="0" w:firstLineChars="0"/>
              <w:rPr>
                <w:szCs w:val="21"/>
              </w:rPr>
            </w:pPr>
            <w:r>
              <w:rPr>
                <w:rFonts w:hint="eastAsia"/>
                <w:szCs w:val="21"/>
              </w:rPr>
              <w:t>1</w:t>
            </w:r>
            <w:r>
              <w:rPr>
                <w:szCs w:val="21"/>
              </w:rPr>
              <w:t>.</w:t>
            </w:r>
            <w:r>
              <w:rPr>
                <w:rFonts w:hint="eastAsia"/>
                <w:szCs w:val="21"/>
              </w:rPr>
              <w:t>木门窗（扇）扭曲变形、缝隙大、关闭不严密，合页安装粗糙，门窗扇上端未油漆、卫生间门下未油漆；</w:t>
            </w:r>
          </w:p>
          <w:p w14:paraId="5F5D3D50">
            <w:pPr>
              <w:pStyle w:val="24"/>
              <w:snapToGrid w:val="0"/>
              <w:spacing w:line="288" w:lineRule="auto"/>
              <w:ind w:firstLine="0" w:firstLineChars="0"/>
              <w:rPr>
                <w:szCs w:val="21"/>
              </w:rPr>
            </w:pPr>
            <w:r>
              <w:rPr>
                <w:rFonts w:hint="eastAsia"/>
                <w:szCs w:val="21"/>
              </w:rPr>
              <w:t>2</w:t>
            </w:r>
            <w:r>
              <w:rPr>
                <w:szCs w:val="21"/>
              </w:rPr>
              <w:t>.</w:t>
            </w:r>
            <w:r>
              <w:rPr>
                <w:rFonts w:hint="eastAsia"/>
                <w:szCs w:val="21"/>
              </w:rPr>
              <w:t>玻璃门扇下坠，拉手松动、缝隙不均或过宽；</w:t>
            </w:r>
          </w:p>
          <w:p w14:paraId="5653638E">
            <w:pPr>
              <w:pStyle w:val="24"/>
              <w:snapToGrid w:val="0"/>
              <w:spacing w:line="288" w:lineRule="auto"/>
              <w:ind w:firstLine="0" w:firstLineChars="0"/>
              <w:rPr>
                <w:szCs w:val="21"/>
              </w:rPr>
            </w:pPr>
            <w:r>
              <w:rPr>
                <w:rFonts w:hint="eastAsia"/>
                <w:szCs w:val="21"/>
              </w:rPr>
              <w:t>3</w:t>
            </w:r>
            <w:r>
              <w:rPr>
                <w:szCs w:val="21"/>
              </w:rPr>
              <w:t>.</w:t>
            </w:r>
            <w:r>
              <w:rPr>
                <w:rFonts w:hint="eastAsia"/>
                <w:szCs w:val="21"/>
              </w:rPr>
              <w:t>铝合金门窗固定不牢固、门窗扇下坠，开启不灵便，划痕明显；</w:t>
            </w:r>
          </w:p>
          <w:p w14:paraId="6A9486F5">
            <w:pPr>
              <w:pStyle w:val="24"/>
              <w:snapToGrid w:val="0"/>
              <w:spacing w:line="288" w:lineRule="auto"/>
              <w:ind w:firstLine="0" w:firstLineChars="0"/>
              <w:rPr>
                <w:szCs w:val="21"/>
              </w:rPr>
            </w:pPr>
            <w:r>
              <w:rPr>
                <w:rFonts w:hint="eastAsia"/>
                <w:szCs w:val="21"/>
              </w:rPr>
              <w:t>4</w:t>
            </w:r>
            <w:r>
              <w:rPr>
                <w:szCs w:val="21"/>
              </w:rPr>
              <w:t>.</w:t>
            </w:r>
            <w:r>
              <w:rPr>
                <w:rFonts w:hint="eastAsia"/>
                <w:szCs w:val="21"/>
              </w:rPr>
              <w:t>门饰件（门钉、包叶、兽面、门锁等）未符合设计要求；</w:t>
            </w:r>
          </w:p>
          <w:p w14:paraId="732DF58B">
            <w:pPr>
              <w:pStyle w:val="24"/>
              <w:snapToGrid w:val="0"/>
              <w:spacing w:line="288" w:lineRule="auto"/>
              <w:ind w:firstLine="0" w:firstLineChars="0"/>
              <w:rPr>
                <w:szCs w:val="21"/>
              </w:rPr>
            </w:pPr>
            <w:r>
              <w:rPr>
                <w:rFonts w:hint="eastAsia"/>
                <w:szCs w:val="21"/>
              </w:rPr>
              <w:t>5</w:t>
            </w:r>
            <w:r>
              <w:rPr>
                <w:szCs w:val="21"/>
              </w:rPr>
              <w:t>.</w:t>
            </w:r>
            <w:r>
              <w:rPr>
                <w:rFonts w:hint="eastAsia"/>
                <w:szCs w:val="21"/>
              </w:rPr>
              <w:t>窗扇未按要求设置防脱落措施。</w:t>
            </w:r>
          </w:p>
        </w:tc>
        <w:tc>
          <w:tcPr>
            <w:tcW w:w="2409" w:type="dxa"/>
            <w:vMerge w:val="continue"/>
            <w:tcBorders>
              <w:left w:val="single" w:color="auto" w:sz="4" w:space="0"/>
              <w:right w:val="single" w:color="auto" w:sz="4" w:space="0"/>
            </w:tcBorders>
            <w:noWrap w:val="0"/>
            <w:vAlign w:val="center"/>
          </w:tcPr>
          <w:p w14:paraId="7177AE17">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4AD9CF91">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7623B0F6">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594E87BE">
            <w:pPr>
              <w:snapToGrid w:val="0"/>
              <w:spacing w:line="288" w:lineRule="auto"/>
              <w:rPr>
                <w:szCs w:val="21"/>
              </w:rPr>
            </w:pPr>
          </w:p>
        </w:tc>
      </w:tr>
      <w:tr w14:paraId="7647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67" w:type="dxa"/>
            <w:vMerge w:val="continue"/>
            <w:tcBorders>
              <w:left w:val="single" w:color="auto" w:sz="4" w:space="0"/>
              <w:right w:val="single" w:color="auto" w:sz="4" w:space="0"/>
            </w:tcBorders>
            <w:noWrap w:val="0"/>
            <w:vAlign w:val="center"/>
          </w:tcPr>
          <w:p w14:paraId="267BD68E">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76BD334F">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18A05D4C">
            <w:pPr>
              <w:snapToGrid w:val="0"/>
              <w:spacing w:line="288" w:lineRule="auto"/>
              <w:rPr>
                <w:rFonts w:ascii="黑体" w:hAnsi="黑体" w:eastAsia="黑体"/>
                <w:szCs w:val="21"/>
              </w:rPr>
            </w:pPr>
            <w:r>
              <w:rPr>
                <w:rFonts w:ascii="黑体" w:hAnsi="黑体" w:eastAsia="黑体"/>
                <w:szCs w:val="21"/>
              </w:rPr>
              <w:t>裱糊与壁画</w:t>
            </w:r>
          </w:p>
          <w:p w14:paraId="5E45D40E">
            <w:pPr>
              <w:pStyle w:val="24"/>
              <w:snapToGrid w:val="0"/>
              <w:spacing w:line="288" w:lineRule="auto"/>
              <w:ind w:firstLine="0" w:firstLineChars="0"/>
              <w:rPr>
                <w:szCs w:val="21"/>
              </w:rPr>
            </w:pPr>
            <w:r>
              <w:rPr>
                <w:rFonts w:hint="eastAsia"/>
                <w:szCs w:val="21"/>
              </w:rPr>
              <w:t>1</w:t>
            </w:r>
            <w:r>
              <w:rPr>
                <w:szCs w:val="21"/>
              </w:rPr>
              <w:t>.</w:t>
            </w:r>
            <w:r>
              <w:rPr>
                <w:rFonts w:hint="eastAsia"/>
                <w:szCs w:val="21"/>
              </w:rPr>
              <w:t>裱糊工程粘贴不牢、翘边、空鼓；拼接处花纹、图案不协调，拼缝处离缝；</w:t>
            </w:r>
          </w:p>
          <w:p w14:paraId="00A28385">
            <w:pPr>
              <w:pStyle w:val="24"/>
              <w:snapToGrid w:val="0"/>
              <w:spacing w:line="288" w:lineRule="auto"/>
              <w:ind w:firstLine="0" w:firstLineChars="0"/>
              <w:rPr>
                <w:szCs w:val="21"/>
              </w:rPr>
            </w:pPr>
            <w:r>
              <w:rPr>
                <w:rFonts w:hint="eastAsia"/>
                <w:szCs w:val="21"/>
              </w:rPr>
              <w:t>2</w:t>
            </w:r>
            <w:r>
              <w:rPr>
                <w:szCs w:val="21"/>
              </w:rPr>
              <w:t>.</w:t>
            </w:r>
            <w:r>
              <w:rPr>
                <w:rFonts w:hint="eastAsia"/>
                <w:szCs w:val="21"/>
              </w:rPr>
              <w:t>壁画内容不符合要求，绘制粗糙，线条生硬，色彩突兀，不能清晰表达画面内容。</w:t>
            </w:r>
          </w:p>
        </w:tc>
        <w:tc>
          <w:tcPr>
            <w:tcW w:w="2409" w:type="dxa"/>
            <w:vMerge w:val="continue"/>
            <w:tcBorders>
              <w:left w:val="single" w:color="auto" w:sz="4" w:space="0"/>
              <w:right w:val="single" w:color="auto" w:sz="4" w:space="0"/>
            </w:tcBorders>
            <w:noWrap w:val="0"/>
            <w:vAlign w:val="center"/>
          </w:tcPr>
          <w:p w14:paraId="41F53593">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2DC677FA">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69239A2A">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708B7A79">
            <w:pPr>
              <w:snapToGrid w:val="0"/>
              <w:spacing w:line="288" w:lineRule="auto"/>
              <w:rPr>
                <w:szCs w:val="21"/>
              </w:rPr>
            </w:pPr>
          </w:p>
        </w:tc>
      </w:tr>
      <w:tr w14:paraId="5B66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67" w:type="dxa"/>
            <w:vMerge w:val="continue"/>
            <w:tcBorders>
              <w:left w:val="single" w:color="auto" w:sz="4" w:space="0"/>
              <w:right w:val="single" w:color="auto" w:sz="4" w:space="0"/>
            </w:tcBorders>
            <w:noWrap w:val="0"/>
            <w:vAlign w:val="center"/>
          </w:tcPr>
          <w:p w14:paraId="7690B0C5">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09995B5C">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41B63698">
            <w:pPr>
              <w:snapToGrid w:val="0"/>
              <w:spacing w:line="288" w:lineRule="auto"/>
              <w:rPr>
                <w:rFonts w:ascii="黑体" w:hAnsi="黑体" w:eastAsia="黑体"/>
                <w:szCs w:val="21"/>
              </w:rPr>
            </w:pPr>
            <w:r>
              <w:rPr>
                <w:rFonts w:ascii="黑体" w:hAnsi="黑体" w:eastAsia="黑体"/>
                <w:szCs w:val="21"/>
              </w:rPr>
              <w:t>消防栓</w:t>
            </w:r>
          </w:p>
          <w:p w14:paraId="6C38A719">
            <w:pPr>
              <w:pStyle w:val="24"/>
              <w:snapToGrid w:val="0"/>
              <w:spacing w:line="288" w:lineRule="auto"/>
              <w:ind w:firstLine="0" w:firstLineChars="0"/>
              <w:rPr>
                <w:szCs w:val="21"/>
              </w:rPr>
            </w:pPr>
            <w:r>
              <w:rPr>
                <w:rFonts w:hint="eastAsia"/>
                <w:szCs w:val="21"/>
              </w:rPr>
              <w:t>1</w:t>
            </w:r>
            <w:r>
              <w:rPr>
                <w:szCs w:val="21"/>
              </w:rPr>
              <w:t>.</w:t>
            </w:r>
            <w:r>
              <w:rPr>
                <w:rFonts w:hint="eastAsia"/>
                <w:szCs w:val="21"/>
              </w:rPr>
              <w:t>消防箱门开启不便或无开启方向标识，开启角度不符合规范要求，消防箱四周未封堵；</w:t>
            </w:r>
          </w:p>
          <w:p w14:paraId="3E7C3EAB">
            <w:pPr>
              <w:pStyle w:val="24"/>
              <w:snapToGrid w:val="0"/>
              <w:spacing w:line="288" w:lineRule="auto"/>
              <w:ind w:firstLine="0" w:firstLineChars="0"/>
              <w:rPr>
                <w:szCs w:val="21"/>
              </w:rPr>
            </w:pPr>
            <w:r>
              <w:rPr>
                <w:rFonts w:hint="eastAsia"/>
                <w:szCs w:val="21"/>
              </w:rPr>
              <w:t>2</w:t>
            </w:r>
            <w:r>
              <w:rPr>
                <w:szCs w:val="21"/>
              </w:rPr>
              <w:t>.</w:t>
            </w:r>
            <w:r>
              <w:rPr>
                <w:rFonts w:hint="eastAsia"/>
                <w:szCs w:val="21"/>
              </w:rPr>
              <w:t>修缮工程不能安装消防设施的，未在醒目处设置消防器材。</w:t>
            </w:r>
          </w:p>
        </w:tc>
        <w:tc>
          <w:tcPr>
            <w:tcW w:w="2409" w:type="dxa"/>
            <w:vMerge w:val="continue"/>
            <w:tcBorders>
              <w:left w:val="single" w:color="auto" w:sz="4" w:space="0"/>
              <w:right w:val="single" w:color="auto" w:sz="4" w:space="0"/>
            </w:tcBorders>
            <w:noWrap w:val="0"/>
            <w:vAlign w:val="center"/>
          </w:tcPr>
          <w:p w14:paraId="28395610">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5FCA20D2">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5DB3AEAE">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61C7230B">
            <w:pPr>
              <w:snapToGrid w:val="0"/>
              <w:spacing w:line="288" w:lineRule="auto"/>
              <w:rPr>
                <w:szCs w:val="21"/>
              </w:rPr>
            </w:pPr>
          </w:p>
        </w:tc>
      </w:tr>
      <w:tr w14:paraId="0CEF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67" w:type="dxa"/>
            <w:vMerge w:val="continue"/>
            <w:tcBorders>
              <w:left w:val="single" w:color="auto" w:sz="4" w:space="0"/>
              <w:bottom w:val="single" w:color="auto" w:sz="4" w:space="0"/>
              <w:right w:val="single" w:color="auto" w:sz="4" w:space="0"/>
            </w:tcBorders>
            <w:noWrap w:val="0"/>
            <w:vAlign w:val="center"/>
          </w:tcPr>
          <w:p w14:paraId="4076602E">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19735BDC">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69F87FBF">
            <w:pPr>
              <w:snapToGrid w:val="0"/>
              <w:spacing w:line="288" w:lineRule="auto"/>
              <w:rPr>
                <w:rFonts w:ascii="黑体" w:hAnsi="黑体" w:eastAsia="黑体"/>
                <w:szCs w:val="21"/>
              </w:rPr>
            </w:pPr>
            <w:r>
              <w:rPr>
                <w:rFonts w:ascii="黑体" w:hAnsi="黑体" w:eastAsia="黑体"/>
                <w:szCs w:val="21"/>
              </w:rPr>
              <w:t>其它</w:t>
            </w:r>
          </w:p>
          <w:p w14:paraId="2BF13204">
            <w:pPr>
              <w:snapToGrid w:val="0"/>
              <w:spacing w:line="288" w:lineRule="auto"/>
              <w:rPr>
                <w:szCs w:val="21"/>
              </w:rPr>
            </w:pPr>
            <w:r>
              <w:rPr>
                <w:rFonts w:hint="eastAsia"/>
                <w:szCs w:val="21"/>
              </w:rPr>
              <w:t>其它工程质量问题按（公共建筑装饰类）执行。</w:t>
            </w:r>
          </w:p>
        </w:tc>
        <w:tc>
          <w:tcPr>
            <w:tcW w:w="2409" w:type="dxa"/>
            <w:vMerge w:val="continue"/>
            <w:tcBorders>
              <w:left w:val="single" w:color="auto" w:sz="4" w:space="0"/>
              <w:bottom w:val="single" w:color="auto" w:sz="4" w:space="0"/>
              <w:right w:val="single" w:color="auto" w:sz="4" w:space="0"/>
            </w:tcBorders>
            <w:noWrap w:val="0"/>
            <w:vAlign w:val="center"/>
          </w:tcPr>
          <w:p w14:paraId="6020B604">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70E898D2">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210B8D30">
            <w:pPr>
              <w:snapToGrid w:val="0"/>
              <w:spacing w:line="288" w:lineRule="auto"/>
              <w:jc w:val="center"/>
              <w:rPr>
                <w:rFonts w:ascii="宋体" w:hAnsi="宋体"/>
                <w:szCs w:val="21"/>
              </w:rPr>
            </w:pPr>
          </w:p>
        </w:tc>
        <w:tc>
          <w:tcPr>
            <w:tcW w:w="2268" w:type="dxa"/>
            <w:vMerge w:val="continue"/>
            <w:tcBorders>
              <w:left w:val="single" w:color="auto" w:sz="4" w:space="0"/>
              <w:bottom w:val="single" w:color="auto" w:sz="4" w:space="0"/>
              <w:right w:val="single" w:color="auto" w:sz="4" w:space="0"/>
            </w:tcBorders>
            <w:noWrap w:val="0"/>
            <w:vAlign w:val="center"/>
          </w:tcPr>
          <w:p w14:paraId="61DDF761">
            <w:pPr>
              <w:snapToGrid w:val="0"/>
              <w:spacing w:line="288" w:lineRule="auto"/>
              <w:rPr>
                <w:szCs w:val="21"/>
              </w:rPr>
            </w:pPr>
          </w:p>
        </w:tc>
      </w:tr>
      <w:tr w14:paraId="06AF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67" w:type="dxa"/>
            <w:vMerge w:val="restart"/>
            <w:tcBorders>
              <w:left w:val="single" w:color="auto" w:sz="4" w:space="0"/>
              <w:right w:val="single" w:color="auto" w:sz="4" w:space="0"/>
            </w:tcBorders>
            <w:noWrap w:val="0"/>
            <w:vAlign w:val="center"/>
          </w:tcPr>
          <w:p w14:paraId="392578DA">
            <w:pPr>
              <w:snapToGrid w:val="0"/>
              <w:spacing w:line="288" w:lineRule="auto"/>
              <w:jc w:val="center"/>
              <w:rPr>
                <w:rFonts w:ascii="宋体" w:hAnsi="宋体"/>
                <w:szCs w:val="21"/>
              </w:rPr>
            </w:pPr>
            <w:r>
              <w:rPr>
                <w:rFonts w:hint="eastAsia" w:ascii="宋体" w:hAnsi="宋体"/>
                <w:szCs w:val="21"/>
              </w:rPr>
              <w:t>5</w:t>
            </w:r>
          </w:p>
        </w:tc>
        <w:tc>
          <w:tcPr>
            <w:tcW w:w="1277" w:type="dxa"/>
            <w:vMerge w:val="restart"/>
            <w:tcBorders>
              <w:left w:val="single" w:color="auto" w:sz="4" w:space="0"/>
              <w:right w:val="single" w:color="auto" w:sz="4" w:space="0"/>
            </w:tcBorders>
            <w:noWrap w:val="0"/>
            <w:vAlign w:val="center"/>
          </w:tcPr>
          <w:p w14:paraId="4F88EF7A">
            <w:pPr>
              <w:snapToGrid w:val="0"/>
              <w:spacing w:line="240" w:lineRule="exact"/>
              <w:jc w:val="center"/>
              <w:rPr>
                <w:rFonts w:ascii="宋体" w:hAnsi="宋体"/>
                <w:szCs w:val="21"/>
              </w:rPr>
            </w:pPr>
            <w:r>
              <w:rPr>
                <w:rFonts w:ascii="宋体" w:hAnsi="宋体"/>
                <w:szCs w:val="21"/>
              </w:rPr>
              <w:t>地面</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6D13212C">
            <w:pPr>
              <w:snapToGrid w:val="0"/>
              <w:spacing w:line="288" w:lineRule="auto"/>
              <w:rPr>
                <w:rFonts w:ascii="黑体" w:hAnsi="黑体" w:eastAsia="黑体"/>
                <w:szCs w:val="21"/>
              </w:rPr>
            </w:pPr>
            <w:r>
              <w:rPr>
                <w:rFonts w:ascii="黑体" w:hAnsi="黑体" w:eastAsia="黑体"/>
                <w:szCs w:val="21"/>
              </w:rPr>
              <w:t>一般观感</w:t>
            </w:r>
          </w:p>
          <w:p w14:paraId="1CE912AA">
            <w:pPr>
              <w:snapToGrid w:val="0"/>
              <w:spacing w:line="288" w:lineRule="auto"/>
              <w:rPr>
                <w:szCs w:val="21"/>
              </w:rPr>
            </w:pPr>
            <w:r>
              <w:rPr>
                <w:rFonts w:hint="eastAsia"/>
                <w:szCs w:val="21"/>
              </w:rPr>
              <w:t>1.地面标高不准确，与客梯和用水间配合不好；</w:t>
            </w:r>
          </w:p>
          <w:p w14:paraId="0CBBE8CE">
            <w:pPr>
              <w:snapToGrid w:val="0"/>
              <w:spacing w:line="288" w:lineRule="auto"/>
              <w:rPr>
                <w:szCs w:val="21"/>
              </w:rPr>
            </w:pPr>
            <w:r>
              <w:rPr>
                <w:rFonts w:hint="eastAsia"/>
                <w:szCs w:val="21"/>
              </w:rPr>
              <w:t>2.地面平整差，坡向不正确；</w:t>
            </w:r>
          </w:p>
          <w:p w14:paraId="1B641B86">
            <w:pPr>
              <w:snapToGrid w:val="0"/>
              <w:spacing w:line="288" w:lineRule="auto"/>
              <w:rPr>
                <w:szCs w:val="21"/>
              </w:rPr>
            </w:pPr>
            <w:r>
              <w:rPr>
                <w:rFonts w:hint="eastAsia"/>
                <w:szCs w:val="21"/>
              </w:rPr>
              <w:t>3.色差大影响整体效果（文保修缮除外）。</w:t>
            </w:r>
          </w:p>
        </w:tc>
        <w:tc>
          <w:tcPr>
            <w:tcW w:w="2409" w:type="dxa"/>
            <w:vMerge w:val="restart"/>
            <w:tcBorders>
              <w:top w:val="single" w:color="auto" w:sz="4" w:space="0"/>
              <w:left w:val="single" w:color="auto" w:sz="4" w:space="0"/>
              <w:right w:val="single" w:color="auto" w:sz="4" w:space="0"/>
            </w:tcBorders>
            <w:noWrap w:val="0"/>
            <w:vAlign w:val="center"/>
          </w:tcPr>
          <w:p w14:paraId="12197D85">
            <w:pPr>
              <w:snapToGrid w:val="0"/>
              <w:spacing w:line="288" w:lineRule="auto"/>
              <w:rPr>
                <w:rFonts w:ascii="Calibri" w:hAnsi="Calibri"/>
                <w:szCs w:val="21"/>
              </w:rPr>
            </w:pPr>
            <w:r>
              <w:rPr>
                <w:rFonts w:ascii="Calibri" w:hAnsi="Calibri"/>
                <w:szCs w:val="21"/>
              </w:rPr>
              <w:t>1.</w:t>
            </w:r>
            <w:r>
              <w:rPr>
                <w:rFonts w:hint="eastAsia" w:ascii="Calibri" w:hAnsi="Calibri"/>
                <w:szCs w:val="21"/>
              </w:rPr>
              <w:t>装饰装修分值按公共建筑装饰类</w:t>
            </w:r>
            <w:r>
              <w:rPr>
                <w:rFonts w:hint="eastAsia" w:ascii="宋体" w:hAnsi="宋体"/>
                <w:szCs w:val="21"/>
              </w:rPr>
              <w:t>（公共建筑装饰工程）</w:t>
            </w:r>
            <w:r>
              <w:rPr>
                <w:rFonts w:hint="eastAsia" w:ascii="Calibri" w:hAnsi="Calibri"/>
                <w:szCs w:val="21"/>
              </w:rPr>
              <w:t>执行；</w:t>
            </w:r>
          </w:p>
          <w:p w14:paraId="29008DE7">
            <w:pPr>
              <w:snapToGrid w:val="0"/>
              <w:spacing w:line="288" w:lineRule="auto"/>
              <w:rPr>
                <w:rFonts w:ascii="Calibri" w:hAnsi="Calibri"/>
                <w:szCs w:val="21"/>
              </w:rPr>
            </w:pPr>
            <w:r>
              <w:rPr>
                <w:rFonts w:ascii="Calibri" w:hAnsi="Calibri"/>
                <w:szCs w:val="21"/>
              </w:rPr>
              <w:t>2.</w:t>
            </w:r>
            <w:r>
              <w:rPr>
                <w:rFonts w:hint="eastAsia" w:ascii="Calibri" w:hAnsi="Calibri"/>
                <w:szCs w:val="21"/>
              </w:rPr>
              <w:t>其它问题项每项扣0.5-1分。</w:t>
            </w:r>
          </w:p>
        </w:tc>
        <w:tc>
          <w:tcPr>
            <w:tcW w:w="1701" w:type="dxa"/>
            <w:vMerge w:val="restart"/>
            <w:tcBorders>
              <w:left w:val="single" w:color="auto" w:sz="4" w:space="0"/>
              <w:right w:val="single" w:color="auto" w:sz="4" w:space="0"/>
            </w:tcBorders>
            <w:noWrap w:val="0"/>
            <w:vAlign w:val="center"/>
          </w:tcPr>
          <w:p w14:paraId="0F9F7A87">
            <w:pPr>
              <w:snapToGrid w:val="0"/>
              <w:spacing w:line="288" w:lineRule="auto"/>
              <w:rPr>
                <w:szCs w:val="21"/>
              </w:rPr>
            </w:pPr>
            <w:r>
              <w:rPr>
                <w:szCs w:val="21"/>
              </w:rPr>
              <w:t>1.</w:t>
            </w:r>
            <w:r>
              <w:rPr>
                <w:rFonts w:hint="eastAsia"/>
                <w:szCs w:val="21"/>
              </w:rPr>
              <w:t>涉及工程质量安全、强条项的内容为必查项；</w:t>
            </w:r>
          </w:p>
          <w:p w14:paraId="1EED7D3A">
            <w:pPr>
              <w:snapToGrid w:val="0"/>
              <w:spacing w:line="288" w:lineRule="auto"/>
              <w:rPr>
                <w:szCs w:val="21"/>
              </w:rPr>
            </w:pPr>
            <w:r>
              <w:rPr>
                <w:rFonts w:hint="eastAsia"/>
                <w:szCs w:val="21"/>
              </w:rPr>
              <w:t>2.涉及使用功能的内容为必查项。</w:t>
            </w:r>
          </w:p>
        </w:tc>
        <w:tc>
          <w:tcPr>
            <w:tcW w:w="851" w:type="dxa"/>
            <w:vMerge w:val="restart"/>
            <w:tcBorders>
              <w:left w:val="single" w:color="auto" w:sz="4" w:space="0"/>
              <w:right w:val="single" w:color="auto" w:sz="4" w:space="0"/>
            </w:tcBorders>
            <w:noWrap w:val="0"/>
            <w:vAlign w:val="center"/>
          </w:tcPr>
          <w:p w14:paraId="74BFBB55">
            <w:pPr>
              <w:snapToGrid w:val="0"/>
              <w:spacing w:line="288" w:lineRule="auto"/>
              <w:jc w:val="center"/>
              <w:rPr>
                <w:rFonts w:ascii="宋体" w:hAnsi="宋体"/>
                <w:szCs w:val="21"/>
              </w:rPr>
            </w:pPr>
            <w:r>
              <w:rPr>
                <w:rFonts w:hint="eastAsia" w:ascii="宋体" w:hAnsi="宋体"/>
                <w:szCs w:val="21"/>
              </w:rPr>
              <w:t>10分</w:t>
            </w:r>
          </w:p>
        </w:tc>
        <w:tc>
          <w:tcPr>
            <w:tcW w:w="2268" w:type="dxa"/>
            <w:vMerge w:val="restart"/>
            <w:tcBorders>
              <w:top w:val="single" w:color="auto" w:sz="4" w:space="0"/>
              <w:left w:val="single" w:color="auto" w:sz="4" w:space="0"/>
              <w:right w:val="single" w:color="auto" w:sz="4" w:space="0"/>
            </w:tcBorders>
            <w:noWrap w:val="0"/>
            <w:vAlign w:val="center"/>
          </w:tcPr>
          <w:p w14:paraId="604B69C6">
            <w:pPr>
              <w:snapToGrid w:val="0"/>
              <w:spacing w:line="288" w:lineRule="auto"/>
              <w:rPr>
                <w:szCs w:val="21"/>
              </w:rPr>
            </w:pPr>
            <w:r>
              <w:rPr>
                <w:rFonts w:hint="eastAsia"/>
                <w:szCs w:val="21"/>
              </w:rPr>
              <w:t>结合图纸、资料查工程实体</w:t>
            </w:r>
          </w:p>
        </w:tc>
      </w:tr>
      <w:tr w14:paraId="0C39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67" w:type="dxa"/>
            <w:vMerge w:val="continue"/>
            <w:tcBorders>
              <w:left w:val="single" w:color="auto" w:sz="4" w:space="0"/>
              <w:right w:val="single" w:color="auto" w:sz="4" w:space="0"/>
            </w:tcBorders>
            <w:noWrap w:val="0"/>
            <w:vAlign w:val="center"/>
          </w:tcPr>
          <w:p w14:paraId="4D24FAE3">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7DA43E82">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D9E469A">
            <w:pPr>
              <w:snapToGrid w:val="0"/>
              <w:spacing w:line="288" w:lineRule="auto"/>
              <w:rPr>
                <w:rFonts w:ascii="黑体" w:hAnsi="黑体" w:eastAsia="黑体"/>
                <w:szCs w:val="21"/>
              </w:rPr>
            </w:pPr>
            <w:r>
              <w:rPr>
                <w:rFonts w:ascii="黑体" w:hAnsi="黑体" w:eastAsia="黑体"/>
                <w:szCs w:val="21"/>
              </w:rPr>
              <w:t>板块地面</w:t>
            </w:r>
          </w:p>
          <w:p w14:paraId="7BE67AE2">
            <w:pPr>
              <w:pStyle w:val="24"/>
              <w:snapToGrid w:val="0"/>
              <w:spacing w:line="288" w:lineRule="auto"/>
              <w:ind w:firstLine="0" w:firstLineChars="0"/>
              <w:rPr>
                <w:szCs w:val="21"/>
              </w:rPr>
            </w:pPr>
            <w:r>
              <w:rPr>
                <w:rFonts w:hint="eastAsia"/>
                <w:szCs w:val="21"/>
              </w:rPr>
              <w:t>1</w:t>
            </w:r>
            <w:r>
              <w:rPr>
                <w:szCs w:val="21"/>
              </w:rPr>
              <w:t>.</w:t>
            </w:r>
            <w:r>
              <w:rPr>
                <w:rFonts w:hint="eastAsia"/>
                <w:szCs w:val="21"/>
              </w:rPr>
              <w:t>地面铺装的材料品种、质量、色泽、规格、图案和铺设方法、地面铺装分格等未按古建传统做法施工；</w:t>
            </w:r>
          </w:p>
          <w:p w14:paraId="1DFBE8A7">
            <w:pPr>
              <w:pStyle w:val="24"/>
              <w:snapToGrid w:val="0"/>
              <w:spacing w:line="288" w:lineRule="auto"/>
              <w:ind w:firstLine="0" w:firstLineChars="0"/>
              <w:rPr>
                <w:szCs w:val="21"/>
              </w:rPr>
            </w:pPr>
            <w:r>
              <w:rPr>
                <w:rFonts w:hint="eastAsia"/>
                <w:szCs w:val="21"/>
              </w:rPr>
              <w:t>2</w:t>
            </w:r>
            <w:r>
              <w:rPr>
                <w:szCs w:val="21"/>
              </w:rPr>
              <w:t>.</w:t>
            </w:r>
            <w:r>
              <w:rPr>
                <w:rFonts w:hint="eastAsia"/>
                <w:szCs w:val="21"/>
              </w:rPr>
              <w:t>面层和结合层结合不牢固，块材松动。</w:t>
            </w:r>
          </w:p>
          <w:p w14:paraId="52E49530">
            <w:pPr>
              <w:pStyle w:val="24"/>
              <w:snapToGrid w:val="0"/>
              <w:spacing w:line="288" w:lineRule="auto"/>
              <w:ind w:firstLine="0" w:firstLineChars="0"/>
              <w:rPr>
                <w:szCs w:val="21"/>
              </w:rPr>
            </w:pPr>
            <w:r>
              <w:rPr>
                <w:rFonts w:hint="eastAsia"/>
                <w:szCs w:val="21"/>
              </w:rPr>
              <w:t>3</w:t>
            </w:r>
            <w:r>
              <w:rPr>
                <w:szCs w:val="21"/>
              </w:rPr>
              <w:t>.</w:t>
            </w:r>
            <w:r>
              <w:rPr>
                <w:rFonts w:hint="eastAsia"/>
                <w:szCs w:val="21"/>
              </w:rPr>
              <w:t>地面存在返碱、水渍污染；</w:t>
            </w:r>
          </w:p>
          <w:p w14:paraId="3709DDD2">
            <w:pPr>
              <w:pStyle w:val="24"/>
              <w:snapToGrid w:val="0"/>
              <w:spacing w:line="288" w:lineRule="auto"/>
              <w:ind w:firstLine="0" w:firstLineChars="0"/>
              <w:rPr>
                <w:szCs w:val="21"/>
              </w:rPr>
            </w:pPr>
            <w:r>
              <w:rPr>
                <w:rFonts w:hint="eastAsia"/>
                <w:szCs w:val="21"/>
              </w:rPr>
              <w:t>4</w:t>
            </w:r>
            <w:r>
              <w:rPr>
                <w:szCs w:val="21"/>
              </w:rPr>
              <w:t>.</w:t>
            </w:r>
            <w:r>
              <w:rPr>
                <w:rFonts w:hint="eastAsia"/>
                <w:szCs w:val="21"/>
              </w:rPr>
              <w:t>板块地面接缝不平直、局部打磨影响光泽美观；块材崩边掉角、修补痕迹明显；</w:t>
            </w:r>
          </w:p>
          <w:p w14:paraId="5C0AF03C">
            <w:pPr>
              <w:pStyle w:val="24"/>
              <w:snapToGrid w:val="0"/>
              <w:spacing w:line="288" w:lineRule="auto"/>
              <w:ind w:firstLine="0" w:firstLineChars="0"/>
              <w:rPr>
                <w:szCs w:val="21"/>
              </w:rPr>
            </w:pPr>
            <w:r>
              <w:rPr>
                <w:rFonts w:hint="eastAsia"/>
                <w:szCs w:val="21"/>
              </w:rPr>
              <w:t>1</w:t>
            </w:r>
            <w:r>
              <w:rPr>
                <w:szCs w:val="21"/>
              </w:rPr>
              <w:t>.</w:t>
            </w:r>
            <w:r>
              <w:rPr>
                <w:rFonts w:hint="eastAsia"/>
                <w:szCs w:val="21"/>
              </w:rPr>
              <w:t>块材地面围边不交圈、切角不到位、套割不严密；</w:t>
            </w:r>
          </w:p>
          <w:p w14:paraId="79B91B9A">
            <w:pPr>
              <w:pStyle w:val="24"/>
              <w:snapToGrid w:val="0"/>
              <w:spacing w:line="288" w:lineRule="auto"/>
              <w:ind w:firstLine="0" w:firstLineChars="0"/>
              <w:rPr>
                <w:szCs w:val="21"/>
              </w:rPr>
            </w:pPr>
            <w:r>
              <w:rPr>
                <w:szCs w:val="21"/>
              </w:rPr>
              <w:t>2.</w:t>
            </w:r>
            <w:r>
              <w:rPr>
                <w:rFonts w:hint="eastAsia"/>
                <w:szCs w:val="21"/>
              </w:rPr>
              <w:t>条形木地板铺设方向不正确、板面不实、响动，拼缝不平直、缝隙过大。</w:t>
            </w:r>
          </w:p>
        </w:tc>
        <w:tc>
          <w:tcPr>
            <w:tcW w:w="2409" w:type="dxa"/>
            <w:vMerge w:val="continue"/>
            <w:tcBorders>
              <w:left w:val="single" w:color="auto" w:sz="4" w:space="0"/>
              <w:right w:val="single" w:color="auto" w:sz="4" w:space="0"/>
            </w:tcBorders>
            <w:noWrap w:val="0"/>
            <w:vAlign w:val="center"/>
          </w:tcPr>
          <w:p w14:paraId="341D7A2A">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4B0EDDAE">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218263E6">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5E5461A7">
            <w:pPr>
              <w:snapToGrid w:val="0"/>
              <w:spacing w:line="288" w:lineRule="auto"/>
              <w:rPr>
                <w:szCs w:val="21"/>
              </w:rPr>
            </w:pPr>
          </w:p>
        </w:tc>
      </w:tr>
      <w:tr w14:paraId="793A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567" w:type="dxa"/>
            <w:vMerge w:val="continue"/>
            <w:tcBorders>
              <w:left w:val="single" w:color="auto" w:sz="4" w:space="0"/>
              <w:right w:val="single" w:color="auto" w:sz="4" w:space="0"/>
            </w:tcBorders>
            <w:noWrap w:val="0"/>
            <w:vAlign w:val="center"/>
          </w:tcPr>
          <w:p w14:paraId="3FAC8E98">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00F7E21E">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C2EDEE4">
            <w:pPr>
              <w:snapToGrid w:val="0"/>
              <w:spacing w:line="288" w:lineRule="auto"/>
              <w:rPr>
                <w:rFonts w:ascii="黑体" w:hAnsi="黑体" w:eastAsia="黑体"/>
                <w:szCs w:val="21"/>
              </w:rPr>
            </w:pPr>
            <w:r>
              <w:rPr>
                <w:rFonts w:ascii="黑体" w:hAnsi="黑体" w:eastAsia="黑体"/>
                <w:szCs w:val="21"/>
              </w:rPr>
              <w:t>栏杆扶手</w:t>
            </w:r>
          </w:p>
          <w:p w14:paraId="74D122A3">
            <w:pPr>
              <w:pStyle w:val="24"/>
              <w:snapToGrid w:val="0"/>
              <w:spacing w:line="288" w:lineRule="auto"/>
              <w:ind w:firstLine="0" w:firstLineChars="0"/>
              <w:rPr>
                <w:szCs w:val="21"/>
              </w:rPr>
            </w:pPr>
            <w:r>
              <w:rPr>
                <w:rFonts w:hint="eastAsia"/>
                <w:szCs w:val="21"/>
              </w:rPr>
              <w:t>1.木扶手开裂、接头不平、油漆剥落、色泽不均；栏杆制作、安装欠牢固，有松散、晃动等现象；</w:t>
            </w:r>
          </w:p>
          <w:p w14:paraId="1D6AC3DB">
            <w:pPr>
              <w:snapToGrid w:val="0"/>
              <w:spacing w:line="288" w:lineRule="auto"/>
              <w:rPr>
                <w:szCs w:val="21"/>
              </w:rPr>
            </w:pPr>
            <w:r>
              <w:rPr>
                <w:rFonts w:hint="eastAsia"/>
                <w:szCs w:val="21"/>
              </w:rPr>
              <w:t>2.金属栏杆、扶手接缝不平顺，栏杆立柱固定欠牢固；玻璃栏板安装不平顺、边缘未打磨。</w:t>
            </w:r>
          </w:p>
        </w:tc>
        <w:tc>
          <w:tcPr>
            <w:tcW w:w="2409" w:type="dxa"/>
            <w:vMerge w:val="continue"/>
            <w:tcBorders>
              <w:left w:val="single" w:color="auto" w:sz="4" w:space="0"/>
              <w:right w:val="single" w:color="auto" w:sz="4" w:space="0"/>
            </w:tcBorders>
            <w:noWrap w:val="0"/>
            <w:vAlign w:val="center"/>
          </w:tcPr>
          <w:p w14:paraId="51693FC1">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09160BE1">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69D0B9CA">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638C8950">
            <w:pPr>
              <w:snapToGrid w:val="0"/>
              <w:spacing w:line="288" w:lineRule="auto"/>
              <w:rPr>
                <w:szCs w:val="21"/>
              </w:rPr>
            </w:pPr>
          </w:p>
        </w:tc>
      </w:tr>
      <w:tr w14:paraId="7CFB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67" w:type="dxa"/>
            <w:vMerge w:val="continue"/>
            <w:tcBorders>
              <w:left w:val="single" w:color="auto" w:sz="4" w:space="0"/>
              <w:bottom w:val="single" w:color="auto" w:sz="4" w:space="0"/>
              <w:right w:val="single" w:color="auto" w:sz="4" w:space="0"/>
            </w:tcBorders>
            <w:noWrap w:val="0"/>
            <w:vAlign w:val="center"/>
          </w:tcPr>
          <w:p w14:paraId="12223A70">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0CC592FB">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24F9FD6">
            <w:pPr>
              <w:snapToGrid w:val="0"/>
              <w:spacing w:line="288" w:lineRule="auto"/>
              <w:rPr>
                <w:rFonts w:ascii="黑体" w:hAnsi="黑体" w:eastAsia="黑体"/>
                <w:szCs w:val="21"/>
              </w:rPr>
            </w:pPr>
            <w:r>
              <w:rPr>
                <w:rFonts w:ascii="黑体" w:hAnsi="黑体" w:eastAsia="黑体"/>
                <w:szCs w:val="21"/>
              </w:rPr>
              <w:t>其它</w:t>
            </w:r>
          </w:p>
          <w:p w14:paraId="771B8FB8">
            <w:pPr>
              <w:snapToGrid w:val="0"/>
              <w:spacing w:line="288" w:lineRule="auto"/>
              <w:rPr>
                <w:szCs w:val="21"/>
              </w:rPr>
            </w:pPr>
            <w:r>
              <w:rPr>
                <w:rFonts w:hint="eastAsia"/>
                <w:szCs w:val="21"/>
              </w:rPr>
              <w:t>其它工程质量问题按（公共建筑装饰类）执行</w:t>
            </w:r>
          </w:p>
        </w:tc>
        <w:tc>
          <w:tcPr>
            <w:tcW w:w="2409" w:type="dxa"/>
            <w:vMerge w:val="continue"/>
            <w:tcBorders>
              <w:left w:val="single" w:color="auto" w:sz="4" w:space="0"/>
              <w:bottom w:val="single" w:color="auto" w:sz="4" w:space="0"/>
              <w:right w:val="single" w:color="auto" w:sz="4" w:space="0"/>
            </w:tcBorders>
            <w:noWrap w:val="0"/>
            <w:vAlign w:val="center"/>
          </w:tcPr>
          <w:p w14:paraId="1E867422">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42EBE09F">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641AD03D">
            <w:pPr>
              <w:snapToGrid w:val="0"/>
              <w:spacing w:line="288" w:lineRule="auto"/>
              <w:jc w:val="center"/>
              <w:rPr>
                <w:rFonts w:ascii="宋体" w:hAnsi="宋体"/>
                <w:szCs w:val="21"/>
              </w:rPr>
            </w:pPr>
          </w:p>
        </w:tc>
        <w:tc>
          <w:tcPr>
            <w:tcW w:w="2268" w:type="dxa"/>
            <w:vMerge w:val="continue"/>
            <w:tcBorders>
              <w:left w:val="single" w:color="auto" w:sz="4" w:space="0"/>
              <w:bottom w:val="single" w:color="auto" w:sz="4" w:space="0"/>
              <w:right w:val="single" w:color="auto" w:sz="4" w:space="0"/>
            </w:tcBorders>
            <w:noWrap w:val="0"/>
            <w:vAlign w:val="center"/>
          </w:tcPr>
          <w:p w14:paraId="72574CD5">
            <w:pPr>
              <w:snapToGrid w:val="0"/>
              <w:spacing w:line="288" w:lineRule="auto"/>
              <w:rPr>
                <w:szCs w:val="21"/>
              </w:rPr>
            </w:pPr>
          </w:p>
        </w:tc>
      </w:tr>
      <w:tr w14:paraId="5EC3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567" w:type="dxa"/>
            <w:tcBorders>
              <w:left w:val="single" w:color="auto" w:sz="4" w:space="0"/>
              <w:bottom w:val="single" w:color="auto" w:sz="4" w:space="0"/>
              <w:right w:val="single" w:color="auto" w:sz="4" w:space="0"/>
            </w:tcBorders>
            <w:noWrap w:val="0"/>
            <w:vAlign w:val="center"/>
          </w:tcPr>
          <w:p w14:paraId="2E454C67">
            <w:pPr>
              <w:snapToGrid w:val="0"/>
              <w:spacing w:line="360" w:lineRule="auto"/>
              <w:jc w:val="center"/>
              <w:rPr>
                <w:rFonts w:ascii="宋体" w:hAnsi="宋体"/>
                <w:szCs w:val="21"/>
              </w:rPr>
            </w:pPr>
            <w:r>
              <w:rPr>
                <w:rFonts w:hint="eastAsia" w:ascii="宋体" w:hAnsi="宋体"/>
                <w:szCs w:val="21"/>
              </w:rPr>
              <w:t>6</w:t>
            </w:r>
          </w:p>
        </w:tc>
        <w:tc>
          <w:tcPr>
            <w:tcW w:w="1277" w:type="dxa"/>
            <w:tcBorders>
              <w:left w:val="single" w:color="auto" w:sz="4" w:space="0"/>
              <w:right w:val="single" w:color="auto" w:sz="4" w:space="0"/>
            </w:tcBorders>
            <w:noWrap w:val="0"/>
            <w:vAlign w:val="center"/>
          </w:tcPr>
          <w:p w14:paraId="332D6E5B">
            <w:pPr>
              <w:snapToGrid w:val="0"/>
              <w:spacing w:line="360" w:lineRule="auto"/>
              <w:jc w:val="center"/>
              <w:rPr>
                <w:rFonts w:ascii="宋体" w:hAnsi="宋体"/>
                <w:color w:val="auto"/>
                <w:szCs w:val="21"/>
              </w:rPr>
            </w:pPr>
            <w:r>
              <w:rPr>
                <w:rFonts w:ascii="宋体" w:hAnsi="宋体"/>
                <w:color w:val="auto"/>
                <w:szCs w:val="21"/>
              </w:rPr>
              <w:t>新技术</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BFBC663">
            <w:pPr>
              <w:pStyle w:val="24"/>
              <w:snapToGrid w:val="0"/>
              <w:spacing w:line="288" w:lineRule="auto"/>
              <w:ind w:firstLine="0" w:firstLineChars="0"/>
              <w:rPr>
                <w:color w:val="auto"/>
                <w:szCs w:val="21"/>
              </w:rPr>
            </w:pPr>
            <w:r>
              <w:rPr>
                <w:rFonts w:hint="eastAsia"/>
                <w:color w:val="auto"/>
                <w:szCs w:val="21"/>
              </w:rPr>
              <w:t>1.创新技术、工艺、工法等；</w:t>
            </w:r>
          </w:p>
          <w:p w14:paraId="25EE67FF">
            <w:pPr>
              <w:pStyle w:val="24"/>
              <w:snapToGrid w:val="0"/>
              <w:spacing w:line="288" w:lineRule="auto"/>
              <w:ind w:firstLine="0" w:firstLineChars="0"/>
              <w:rPr>
                <w:color w:val="auto"/>
                <w:szCs w:val="21"/>
              </w:rPr>
            </w:pPr>
            <w:r>
              <w:rPr>
                <w:color w:val="auto"/>
                <w:szCs w:val="21"/>
              </w:rPr>
              <w:t>2.</w:t>
            </w:r>
            <w:r>
              <w:rPr>
                <w:rFonts w:hint="eastAsia"/>
                <w:color w:val="auto"/>
                <w:szCs w:val="21"/>
              </w:rPr>
              <w:t>采用了新材料、新工艺、新技术或有利于环保节能等的材料、技术、措施、工艺、工法等；</w:t>
            </w:r>
          </w:p>
          <w:p w14:paraId="29845373">
            <w:pPr>
              <w:pStyle w:val="24"/>
              <w:snapToGrid w:val="0"/>
              <w:spacing w:line="288" w:lineRule="auto"/>
              <w:ind w:firstLine="0" w:firstLineChars="0"/>
              <w:rPr>
                <w:color w:val="auto"/>
                <w:szCs w:val="21"/>
              </w:rPr>
            </w:pPr>
            <w:r>
              <w:rPr>
                <w:rFonts w:hint="eastAsia"/>
                <w:color w:val="auto"/>
                <w:szCs w:val="21"/>
                <w:lang w:val="en-US" w:eastAsia="zh-CN"/>
              </w:rPr>
              <w:t>3</w:t>
            </w:r>
            <w:r>
              <w:rPr>
                <w:color w:val="auto"/>
                <w:szCs w:val="21"/>
              </w:rPr>
              <w:t>.</w:t>
            </w:r>
            <w:r>
              <w:rPr>
                <w:rFonts w:hint="eastAsia"/>
                <w:color w:val="auto"/>
                <w:szCs w:val="21"/>
              </w:rPr>
              <w:t>使用了传统工艺、传统材料；</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D8EA1E4">
            <w:pPr>
              <w:pStyle w:val="24"/>
              <w:snapToGrid w:val="0"/>
              <w:spacing w:line="288" w:lineRule="auto"/>
              <w:ind w:firstLine="0" w:firstLineChars="0"/>
              <w:rPr>
                <w:color w:val="auto"/>
                <w:szCs w:val="21"/>
              </w:rPr>
            </w:pPr>
            <w:r>
              <w:rPr>
                <w:rFonts w:hint="eastAsia"/>
                <w:color w:val="auto"/>
                <w:szCs w:val="21"/>
              </w:rPr>
              <w:t>缺少其中内容，扣0.5</w:t>
            </w:r>
            <w:r>
              <w:rPr>
                <w:rFonts w:hint="eastAsia" w:ascii="微软雅黑" w:hAnsi="微软雅黑" w:eastAsia="微软雅黑" w:cs="微软雅黑"/>
                <w:color w:val="auto"/>
                <w:szCs w:val="21"/>
              </w:rPr>
              <w:t>～</w:t>
            </w:r>
            <w:r>
              <w:rPr>
                <w:rFonts w:hint="eastAsia"/>
                <w:color w:val="auto"/>
                <w:szCs w:val="21"/>
              </w:rPr>
              <w:t>3分。</w:t>
            </w:r>
          </w:p>
        </w:tc>
        <w:tc>
          <w:tcPr>
            <w:tcW w:w="1701" w:type="dxa"/>
            <w:tcBorders>
              <w:left w:val="single" w:color="auto" w:sz="4" w:space="0"/>
              <w:right w:val="single" w:color="auto" w:sz="4" w:space="0"/>
            </w:tcBorders>
            <w:noWrap w:val="0"/>
            <w:vAlign w:val="center"/>
          </w:tcPr>
          <w:p w14:paraId="3919E5BF">
            <w:pPr>
              <w:snapToGrid w:val="0"/>
              <w:spacing w:line="360" w:lineRule="auto"/>
              <w:jc w:val="center"/>
              <w:rPr>
                <w:rFonts w:ascii="宋体" w:hAnsi="宋体"/>
                <w:color w:val="auto"/>
                <w:szCs w:val="21"/>
              </w:rPr>
            </w:pPr>
          </w:p>
        </w:tc>
        <w:tc>
          <w:tcPr>
            <w:tcW w:w="851" w:type="dxa"/>
            <w:tcBorders>
              <w:left w:val="single" w:color="auto" w:sz="4" w:space="0"/>
              <w:right w:val="single" w:color="auto" w:sz="4" w:space="0"/>
            </w:tcBorders>
            <w:noWrap w:val="0"/>
            <w:vAlign w:val="center"/>
          </w:tcPr>
          <w:p w14:paraId="1ECC3B24">
            <w:pPr>
              <w:snapToGrid w:val="0"/>
              <w:spacing w:line="360" w:lineRule="auto"/>
              <w:jc w:val="center"/>
              <w:rPr>
                <w:rFonts w:ascii="宋体" w:hAnsi="宋体"/>
                <w:color w:val="auto"/>
                <w:szCs w:val="21"/>
              </w:rPr>
            </w:pPr>
            <w:r>
              <w:rPr>
                <w:rFonts w:hint="eastAsia" w:ascii="宋体" w:hAnsi="宋体"/>
                <w:color w:val="auto"/>
                <w:szCs w:val="21"/>
              </w:rPr>
              <w:t>5分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8922300">
            <w:pPr>
              <w:snapToGrid w:val="0"/>
              <w:spacing w:line="360" w:lineRule="auto"/>
              <w:rPr>
                <w:rFonts w:ascii="宋体" w:hAnsi="宋体"/>
                <w:color w:val="auto"/>
                <w:szCs w:val="21"/>
              </w:rPr>
            </w:pPr>
            <w:r>
              <w:rPr>
                <w:rFonts w:hint="eastAsia" w:ascii="宋体" w:hAnsi="宋体"/>
                <w:color w:val="auto"/>
                <w:szCs w:val="21"/>
              </w:rPr>
              <w:t>查：工程实体、图纸、证书、质量管理与技术资料等。</w:t>
            </w:r>
          </w:p>
        </w:tc>
      </w:tr>
      <w:tr w14:paraId="5739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567" w:type="dxa"/>
            <w:tcBorders>
              <w:left w:val="single" w:color="auto" w:sz="4" w:space="0"/>
              <w:bottom w:val="single" w:color="auto" w:sz="4" w:space="0"/>
              <w:right w:val="single" w:color="auto" w:sz="4" w:space="0"/>
            </w:tcBorders>
            <w:noWrap w:val="0"/>
            <w:vAlign w:val="center"/>
          </w:tcPr>
          <w:p w14:paraId="200A7652">
            <w:pPr>
              <w:snapToGrid w:val="0"/>
              <w:spacing w:line="288" w:lineRule="auto"/>
              <w:jc w:val="center"/>
              <w:rPr>
                <w:rFonts w:ascii="宋体" w:hAnsi="宋体"/>
                <w:color w:val="FF0000"/>
                <w:szCs w:val="21"/>
              </w:rPr>
            </w:pPr>
            <w:r>
              <w:rPr>
                <w:rFonts w:hint="eastAsia" w:ascii="宋体" w:hAnsi="宋体"/>
                <w:color w:val="FF0000"/>
                <w:szCs w:val="21"/>
              </w:rPr>
              <w:t>7</w:t>
            </w:r>
          </w:p>
        </w:tc>
        <w:tc>
          <w:tcPr>
            <w:tcW w:w="1277" w:type="dxa"/>
            <w:tcBorders>
              <w:left w:val="single" w:color="auto" w:sz="4" w:space="0"/>
              <w:right w:val="single" w:color="auto" w:sz="4" w:space="0"/>
            </w:tcBorders>
            <w:noWrap w:val="0"/>
            <w:vAlign w:val="center"/>
          </w:tcPr>
          <w:p w14:paraId="28D671EE">
            <w:pPr>
              <w:snapToGrid w:val="0"/>
              <w:spacing w:line="240" w:lineRule="exact"/>
              <w:jc w:val="center"/>
              <w:rPr>
                <w:rFonts w:ascii="宋体" w:hAnsi="宋体"/>
                <w:color w:val="auto"/>
                <w:szCs w:val="21"/>
              </w:rPr>
            </w:pPr>
            <w:r>
              <w:rPr>
                <w:rFonts w:ascii="宋体" w:hAnsi="宋体"/>
                <w:color w:val="auto"/>
                <w:szCs w:val="21"/>
              </w:rPr>
              <w:t>总体印象</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1F4A0751">
            <w:pPr>
              <w:pStyle w:val="24"/>
              <w:snapToGrid w:val="0"/>
              <w:spacing w:line="288" w:lineRule="auto"/>
              <w:ind w:firstLine="0" w:firstLineChars="0"/>
              <w:rPr>
                <w:color w:val="auto"/>
                <w:szCs w:val="21"/>
              </w:rPr>
            </w:pPr>
            <w:r>
              <w:rPr>
                <w:rFonts w:hint="eastAsia"/>
                <w:color w:val="auto"/>
                <w:szCs w:val="21"/>
              </w:rPr>
              <w:t>1.组织工作准备充分，项目经理或执行经理、技术负责人和资料员等主要相关人员到场，汇报PPT内容重点突出、简单明了；</w:t>
            </w:r>
          </w:p>
          <w:p w14:paraId="23C4DD7E">
            <w:pPr>
              <w:pStyle w:val="24"/>
              <w:snapToGrid w:val="0"/>
              <w:spacing w:line="288" w:lineRule="auto"/>
              <w:ind w:firstLine="0" w:firstLineChars="0"/>
              <w:rPr>
                <w:color w:val="auto"/>
                <w:szCs w:val="21"/>
              </w:rPr>
            </w:pPr>
            <w:r>
              <w:rPr>
                <w:color w:val="auto"/>
                <w:szCs w:val="21"/>
              </w:rPr>
              <w:t>2.</w:t>
            </w:r>
            <w:r>
              <w:rPr>
                <w:rFonts w:hint="eastAsia"/>
                <w:color w:val="auto"/>
                <w:szCs w:val="21"/>
              </w:rPr>
              <w:t>资料准备充分有序，易于查找；</w:t>
            </w:r>
          </w:p>
          <w:p w14:paraId="35560B48">
            <w:pPr>
              <w:pStyle w:val="24"/>
              <w:snapToGrid w:val="0"/>
              <w:spacing w:line="288" w:lineRule="auto"/>
              <w:ind w:firstLine="0" w:firstLineChars="0"/>
              <w:rPr>
                <w:color w:val="auto"/>
                <w:szCs w:val="21"/>
              </w:rPr>
            </w:pPr>
            <w:r>
              <w:rPr>
                <w:color w:val="auto"/>
                <w:szCs w:val="21"/>
              </w:rPr>
              <w:t>3.</w:t>
            </w:r>
            <w:r>
              <w:rPr>
                <w:rFonts w:hint="eastAsia"/>
                <w:color w:val="auto"/>
                <w:szCs w:val="21"/>
              </w:rPr>
              <w:t>用户沟通意见；</w:t>
            </w:r>
          </w:p>
          <w:p w14:paraId="442912F2">
            <w:pPr>
              <w:pStyle w:val="24"/>
              <w:snapToGrid w:val="0"/>
              <w:spacing w:line="288" w:lineRule="auto"/>
              <w:ind w:firstLine="0" w:firstLineChars="0"/>
              <w:rPr>
                <w:color w:val="auto"/>
                <w:szCs w:val="21"/>
              </w:rPr>
            </w:pPr>
            <w:r>
              <w:rPr>
                <w:rFonts w:hint="eastAsia"/>
                <w:color w:val="auto"/>
                <w:szCs w:val="21"/>
              </w:rPr>
              <w:t>4.工程实体检查顺畅不受阻。</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E3BC117">
            <w:pPr>
              <w:pStyle w:val="24"/>
              <w:snapToGrid w:val="0"/>
              <w:spacing w:line="288" w:lineRule="auto"/>
              <w:ind w:firstLine="0" w:firstLineChars="0"/>
              <w:rPr>
                <w:color w:val="auto"/>
                <w:szCs w:val="21"/>
              </w:rPr>
            </w:pPr>
            <w:r>
              <w:rPr>
                <w:color w:val="auto"/>
                <w:szCs w:val="21"/>
              </w:rPr>
              <w:t>1.</w:t>
            </w:r>
            <w:r>
              <w:rPr>
                <w:rFonts w:hint="eastAsia"/>
                <w:color w:val="auto"/>
                <w:szCs w:val="21"/>
              </w:rPr>
              <w:t>工程施工主要负责人未到场(扣2</w:t>
            </w:r>
            <w:r>
              <w:rPr>
                <w:rFonts w:hint="eastAsia" w:ascii="微软雅黑" w:hAnsi="微软雅黑" w:eastAsia="微软雅黑" w:cs="微软雅黑"/>
                <w:color w:val="auto"/>
                <w:szCs w:val="21"/>
              </w:rPr>
              <w:t>～</w:t>
            </w:r>
            <w:r>
              <w:rPr>
                <w:rFonts w:hint="eastAsia"/>
                <w:color w:val="auto"/>
                <w:szCs w:val="21"/>
              </w:rPr>
              <w:t>5分)；</w:t>
            </w:r>
          </w:p>
          <w:p w14:paraId="06A285F8">
            <w:pPr>
              <w:pStyle w:val="24"/>
              <w:snapToGrid w:val="0"/>
              <w:spacing w:line="288" w:lineRule="auto"/>
              <w:ind w:firstLine="0" w:firstLineChars="0"/>
              <w:rPr>
                <w:color w:val="auto"/>
                <w:szCs w:val="21"/>
              </w:rPr>
            </w:pPr>
            <w:r>
              <w:rPr>
                <w:color w:val="auto"/>
                <w:szCs w:val="21"/>
              </w:rPr>
              <w:t>2.</w:t>
            </w:r>
            <w:r>
              <w:rPr>
                <w:rFonts w:hint="eastAsia"/>
                <w:color w:val="auto"/>
                <w:szCs w:val="21"/>
              </w:rPr>
              <w:t>资料准备无序不齐全(扣1</w:t>
            </w:r>
            <w:r>
              <w:rPr>
                <w:rFonts w:hint="eastAsia" w:ascii="微软雅黑" w:hAnsi="微软雅黑" w:eastAsia="微软雅黑" w:cs="微软雅黑"/>
                <w:color w:val="auto"/>
                <w:szCs w:val="21"/>
              </w:rPr>
              <w:t>～</w:t>
            </w:r>
            <w:r>
              <w:rPr>
                <w:rFonts w:hint="eastAsia"/>
                <w:color w:val="auto"/>
                <w:szCs w:val="21"/>
              </w:rPr>
              <w:t>2分)；</w:t>
            </w:r>
          </w:p>
          <w:p w14:paraId="1EDD4646">
            <w:pPr>
              <w:pStyle w:val="24"/>
              <w:snapToGrid w:val="0"/>
              <w:spacing w:line="288" w:lineRule="auto"/>
              <w:ind w:firstLine="0" w:firstLineChars="0"/>
              <w:rPr>
                <w:color w:val="auto"/>
                <w:szCs w:val="21"/>
              </w:rPr>
            </w:pPr>
            <w:r>
              <w:rPr>
                <w:color w:val="auto"/>
                <w:szCs w:val="21"/>
              </w:rPr>
              <w:t>3.</w:t>
            </w:r>
            <w:r>
              <w:rPr>
                <w:rFonts w:hint="eastAsia"/>
                <w:color w:val="auto"/>
                <w:szCs w:val="21"/>
              </w:rPr>
              <w:t>总体印象不佳(扣1</w:t>
            </w:r>
            <w:r>
              <w:rPr>
                <w:rFonts w:hint="eastAsia" w:ascii="微软雅黑" w:hAnsi="微软雅黑" w:eastAsia="微软雅黑" w:cs="微软雅黑"/>
                <w:color w:val="auto"/>
                <w:szCs w:val="21"/>
              </w:rPr>
              <w:t>～</w:t>
            </w:r>
            <w:r>
              <w:rPr>
                <w:rFonts w:hint="eastAsia"/>
                <w:color w:val="auto"/>
                <w:szCs w:val="21"/>
              </w:rPr>
              <w:t>5分)；</w:t>
            </w:r>
          </w:p>
          <w:p w14:paraId="736C023F">
            <w:pPr>
              <w:pStyle w:val="24"/>
              <w:snapToGrid w:val="0"/>
              <w:spacing w:line="288" w:lineRule="auto"/>
              <w:ind w:firstLine="0" w:firstLineChars="0"/>
              <w:rPr>
                <w:color w:val="auto"/>
                <w:szCs w:val="21"/>
              </w:rPr>
            </w:pPr>
            <w:r>
              <w:rPr>
                <w:rFonts w:hint="eastAsia"/>
                <w:color w:val="auto"/>
                <w:szCs w:val="21"/>
              </w:rPr>
              <w:t>4.其它不规范、不到位情况(每项扣0.5</w:t>
            </w:r>
            <w:r>
              <w:rPr>
                <w:rFonts w:hint="eastAsia" w:ascii="微软雅黑" w:hAnsi="微软雅黑" w:eastAsia="微软雅黑" w:cs="微软雅黑"/>
                <w:color w:val="auto"/>
                <w:szCs w:val="21"/>
              </w:rPr>
              <w:t>～</w:t>
            </w:r>
            <w:r>
              <w:rPr>
                <w:rFonts w:hint="eastAsia"/>
                <w:color w:val="auto"/>
                <w:szCs w:val="21"/>
              </w:rPr>
              <w:t>1分)。</w:t>
            </w:r>
          </w:p>
        </w:tc>
        <w:tc>
          <w:tcPr>
            <w:tcW w:w="1701" w:type="dxa"/>
            <w:tcBorders>
              <w:left w:val="single" w:color="auto" w:sz="4" w:space="0"/>
              <w:right w:val="single" w:color="auto" w:sz="4" w:space="0"/>
            </w:tcBorders>
            <w:noWrap w:val="0"/>
            <w:vAlign w:val="center"/>
          </w:tcPr>
          <w:p w14:paraId="63F4E710">
            <w:pPr>
              <w:pStyle w:val="24"/>
              <w:snapToGrid w:val="0"/>
              <w:spacing w:line="288" w:lineRule="auto"/>
              <w:ind w:firstLine="0" w:firstLineChars="0"/>
              <w:rPr>
                <w:color w:val="auto"/>
                <w:szCs w:val="21"/>
              </w:rPr>
            </w:pPr>
            <w:r>
              <w:rPr>
                <w:rFonts w:hint="eastAsia"/>
                <w:color w:val="auto"/>
                <w:szCs w:val="21"/>
              </w:rPr>
              <w:t>人员、资料、过程安排准备不足；未做PPT汇报资料等</w:t>
            </w:r>
          </w:p>
        </w:tc>
        <w:tc>
          <w:tcPr>
            <w:tcW w:w="851" w:type="dxa"/>
            <w:tcBorders>
              <w:left w:val="single" w:color="auto" w:sz="4" w:space="0"/>
              <w:right w:val="single" w:color="auto" w:sz="4" w:space="0"/>
            </w:tcBorders>
            <w:noWrap w:val="0"/>
            <w:vAlign w:val="center"/>
          </w:tcPr>
          <w:p w14:paraId="10A8F97A">
            <w:pPr>
              <w:pStyle w:val="24"/>
              <w:snapToGrid w:val="0"/>
              <w:spacing w:line="288" w:lineRule="auto"/>
              <w:ind w:firstLine="0" w:firstLineChars="0"/>
              <w:rPr>
                <w:color w:val="auto"/>
                <w:szCs w:val="21"/>
              </w:rPr>
            </w:pPr>
            <w:r>
              <w:rPr>
                <w:rFonts w:hint="eastAsia"/>
                <w:color w:val="auto"/>
                <w:szCs w:val="21"/>
              </w:rPr>
              <w:t>10分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D1D6158">
            <w:pPr>
              <w:pStyle w:val="24"/>
              <w:snapToGrid w:val="0"/>
              <w:spacing w:line="288" w:lineRule="auto"/>
              <w:ind w:firstLine="0" w:firstLineChars="0"/>
              <w:rPr>
                <w:color w:val="auto"/>
                <w:szCs w:val="21"/>
              </w:rPr>
            </w:pPr>
            <w:r>
              <w:rPr>
                <w:rFonts w:hint="eastAsia"/>
                <w:color w:val="auto"/>
                <w:szCs w:val="21"/>
              </w:rPr>
              <w:t>1.组织准备情况等；</w:t>
            </w:r>
          </w:p>
          <w:p w14:paraId="15D5ECD0">
            <w:pPr>
              <w:pStyle w:val="24"/>
              <w:snapToGrid w:val="0"/>
              <w:spacing w:line="288" w:lineRule="auto"/>
              <w:ind w:firstLine="0" w:firstLineChars="0"/>
              <w:rPr>
                <w:color w:val="auto"/>
                <w:szCs w:val="21"/>
              </w:rPr>
            </w:pPr>
            <w:r>
              <w:rPr>
                <w:color w:val="auto"/>
                <w:szCs w:val="21"/>
              </w:rPr>
              <w:t>2.</w:t>
            </w:r>
            <w:r>
              <w:rPr>
                <w:rFonts w:hint="eastAsia"/>
                <w:color w:val="auto"/>
                <w:szCs w:val="21"/>
              </w:rPr>
              <w:t>PPT(项目概况、施工范围、重点难点亮点、施工过程中情况图片等,汇报时间10分钟内)；</w:t>
            </w:r>
          </w:p>
          <w:p w14:paraId="2B1A439F">
            <w:pPr>
              <w:pStyle w:val="24"/>
              <w:snapToGrid w:val="0"/>
              <w:spacing w:line="288" w:lineRule="auto"/>
              <w:ind w:firstLine="0" w:firstLineChars="0"/>
              <w:rPr>
                <w:color w:val="auto"/>
                <w:szCs w:val="21"/>
              </w:rPr>
            </w:pPr>
            <w:r>
              <w:rPr>
                <w:color w:val="auto"/>
                <w:szCs w:val="21"/>
              </w:rPr>
              <w:t>3.</w:t>
            </w:r>
            <w:r>
              <w:rPr>
                <w:rFonts w:hint="eastAsia"/>
                <w:color w:val="auto"/>
                <w:szCs w:val="21"/>
              </w:rPr>
              <w:t>用户意见；</w:t>
            </w:r>
          </w:p>
          <w:p w14:paraId="3EC87EC0">
            <w:pPr>
              <w:pStyle w:val="24"/>
              <w:snapToGrid w:val="0"/>
              <w:spacing w:line="288" w:lineRule="auto"/>
              <w:ind w:firstLine="0" w:firstLineChars="0"/>
              <w:rPr>
                <w:color w:val="auto"/>
                <w:szCs w:val="21"/>
              </w:rPr>
            </w:pPr>
            <w:r>
              <w:rPr>
                <w:rFonts w:hint="eastAsia"/>
                <w:color w:val="auto"/>
                <w:szCs w:val="21"/>
              </w:rPr>
              <w:t>4.人员、资料、过程安排准备情况；</w:t>
            </w:r>
          </w:p>
          <w:p w14:paraId="06981B1D">
            <w:pPr>
              <w:pStyle w:val="24"/>
              <w:snapToGrid w:val="0"/>
              <w:spacing w:line="288" w:lineRule="auto"/>
              <w:ind w:firstLine="0" w:firstLineChars="0"/>
              <w:rPr>
                <w:color w:val="auto"/>
                <w:szCs w:val="21"/>
              </w:rPr>
            </w:pPr>
            <w:r>
              <w:rPr>
                <w:color w:val="auto"/>
                <w:szCs w:val="21"/>
              </w:rPr>
              <w:t>5.</w:t>
            </w:r>
            <w:r>
              <w:rPr>
                <w:rFonts w:hint="eastAsia"/>
                <w:color w:val="auto"/>
                <w:szCs w:val="21"/>
              </w:rPr>
              <w:t>纸质汇报资料等。</w:t>
            </w:r>
          </w:p>
        </w:tc>
      </w:tr>
    </w:tbl>
    <w:p w14:paraId="4466CDE8">
      <w:pPr>
        <w:snapToGrid w:val="0"/>
        <w:spacing w:line="360" w:lineRule="auto"/>
        <w:outlineLvl w:val="2"/>
        <w:rPr>
          <w:rFonts w:hint="eastAsia" w:ascii="黑体" w:hAnsi="黑体" w:eastAsia="黑体" w:cs="黑体"/>
          <w:spacing w:val="-4"/>
          <w:sz w:val="32"/>
          <w:szCs w:val="32"/>
        </w:rPr>
        <w:sectPr>
          <w:pgSz w:w="16838" w:h="11906" w:orient="landscape"/>
          <w:pgMar w:top="1587" w:right="1440" w:bottom="1247" w:left="1440" w:header="850" w:footer="992" w:gutter="0"/>
          <w:pgNumType w:fmt="numberInDash"/>
          <w:cols w:space="0" w:num="1"/>
          <w:rtlGutter w:val="0"/>
          <w:docGrid w:type="lines" w:linePitch="312" w:charSpace="0"/>
        </w:sectPr>
      </w:pPr>
      <w:bookmarkStart w:id="11" w:name="_GoBack"/>
      <w:bookmarkEnd w:id="11"/>
    </w:p>
    <w:bookmarkEnd w:id="10"/>
    <w:p w14:paraId="75ED560F">
      <w:pPr>
        <w:spacing w:line="324" w:lineRule="auto"/>
        <w:rPr>
          <w:rFonts w:hint="eastAsia" w:ascii="宋体" w:hAnsi="宋体"/>
          <w:bCs/>
          <w:sz w:val="32"/>
          <w:szCs w:val="32"/>
          <w:lang w:val="en-US" w:eastAsia="zh-CN"/>
        </w:rPr>
      </w:pPr>
    </w:p>
    <w:sectPr>
      <w:headerReference r:id="rId4" w:type="default"/>
      <w:footerReference r:id="rId5" w:type="default"/>
      <w:pgSz w:w="16838" w:h="11906" w:orient="landscape"/>
      <w:pgMar w:top="1587" w:right="1440" w:bottom="1247" w:left="1440" w:header="850"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2959D9-14D2-46B2-B770-8FFF50ACCF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1ED109D-AE79-4035-91FE-AB0CE06D0AD4}"/>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embedRegular r:id="rId3" w:fontKey="{7F1F290C-62A1-4C63-9C73-FBC4DFAD2B78}"/>
  </w:font>
  <w:font w:name="仿宋_GB2312">
    <w:panose1 w:val="02010609030101010101"/>
    <w:charset w:val="86"/>
    <w:family w:val="modern"/>
    <w:pitch w:val="default"/>
    <w:sig w:usb0="00000001" w:usb1="080E0000" w:usb2="00000000" w:usb3="00000000" w:csb0="00040000" w:csb1="00000000"/>
    <w:embedRegular r:id="rId4" w:fontKey="{3DA4F9BB-1804-4447-8C33-A0D7807430BF}"/>
  </w:font>
  <w:font w:name="微软雅黑">
    <w:panose1 w:val="020B0503020204020204"/>
    <w:charset w:val="86"/>
    <w:family w:val="auto"/>
    <w:pitch w:val="default"/>
    <w:sig w:usb0="80000287" w:usb1="2ACF3C50" w:usb2="00000016" w:usb3="00000000" w:csb0="0004001F" w:csb1="00000000"/>
    <w:embedRegular r:id="rId5" w:fontKey="{BBEB5E20-5517-4D69-84FF-9746EDBA8018}"/>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5C0C8">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7FEBE2">
                          <w:pPr>
                            <w:pStyle w:val="8"/>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- 29 -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377FEBE2">
                    <w:pPr>
                      <w:pStyle w:val="8"/>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- 29 -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83168">
    <w:pPr>
      <w:pStyle w:val="8"/>
      <w:framePr w:wrap="around" w:vAnchor="text" w:hAnchor="page" w:x="5967" w:y="1"/>
      <w:rPr>
        <w:rFonts w:ascii="仿宋_GB2312" w:hAnsi="仿宋_GB2312" w:eastAsia="Arial Unicode MS" w:cs="仿宋_GB2312"/>
        <w:sz w:val="28"/>
        <w:szCs w:val="28"/>
      </w:rPr>
    </w:pPr>
    <w:r>
      <w:rPr>
        <w:rFonts w:ascii="仿宋_GB2312" w:hAnsi="仿宋_GB2312" w:eastAsia="Arial Unicode MS" w:cs="仿宋_GB2312"/>
        <w:sz w:val="28"/>
        <w:szCs w:val="28"/>
      </w:rPr>
      <w:fldChar w:fldCharType="begin"/>
    </w:r>
    <w:r>
      <w:rPr>
        <w:rFonts w:ascii="仿宋_GB2312" w:hAnsi="仿宋_GB2312" w:eastAsia="Arial Unicode MS" w:cs="仿宋_GB2312"/>
        <w:sz w:val="28"/>
        <w:szCs w:val="28"/>
      </w:rPr>
      <w:instrText xml:space="preserve"> PAGE \* Arabic </w:instrText>
    </w:r>
    <w:r>
      <w:rPr>
        <w:rFonts w:ascii="仿宋_GB2312" w:hAnsi="仿宋_GB2312" w:eastAsia="Arial Unicode MS" w:cs="仿宋_GB2312"/>
        <w:sz w:val="28"/>
        <w:szCs w:val="28"/>
      </w:rPr>
      <w:fldChar w:fldCharType="separate"/>
    </w:r>
    <w:r>
      <w:rPr>
        <w:rFonts w:ascii="仿宋_GB2312" w:hAnsi="仿宋_GB2312" w:eastAsia="Arial Unicode MS" w:cs="仿宋_GB2312"/>
        <w:sz w:val="28"/>
        <w:szCs w:val="28"/>
      </w:rPr>
      <w:t>4</w:t>
    </w:r>
    <w:r>
      <w:rPr>
        <w:rFonts w:ascii="仿宋_GB2312" w:hAnsi="仿宋_GB2312" w:eastAsia="Arial Unicode MS" w:cs="仿宋_GB2312"/>
        <w:sz w:val="28"/>
        <w:szCs w:val="28"/>
      </w:rPr>
      <w:fldChar w:fldCharType="end"/>
    </w:r>
  </w:p>
  <w:p w14:paraId="0F126E45">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4526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20ED3C"/>
    <w:multiLevelType w:val="singleLevel"/>
    <w:tmpl w:val="1420ED3C"/>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425"/>
  <w:drawingGridHorizontalSpacing w:val="210"/>
  <w:drawingGridVerticalSpacing w:val="156"/>
  <w:displayHorizontalDrawingGridEvery w:val="1"/>
  <w:displayVerticalDrawingGridEvery w:val="2"/>
  <w:doNotUseMarginsForDrawingGridOrigin w:val="1"/>
  <w:drawingGridHorizontalOrigin w:val="0"/>
  <w:drawingGridVerticalOrigin w:val="0"/>
  <w:noPunctuationKerning w:val="1"/>
  <w:characterSpacingControl w:val="doNotCompress"/>
  <w:hdrShapeDefaults>
    <o:shapelayout v:ext="edit">
      <o:idmap v:ext="edit" data="2,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Y2VmMzA2OTA3OGFhOWE1OGYwMDY5MzA0YTdlYzEifQ=="/>
  </w:docVars>
  <w:rsids>
    <w:rsidRoot w:val="002D2EBB"/>
    <w:rsid w:val="00000061"/>
    <w:rsid w:val="000079BA"/>
    <w:rsid w:val="00012838"/>
    <w:rsid w:val="00015F39"/>
    <w:rsid w:val="00017B1E"/>
    <w:rsid w:val="000234DC"/>
    <w:rsid w:val="000267E8"/>
    <w:rsid w:val="00036817"/>
    <w:rsid w:val="00042B89"/>
    <w:rsid w:val="00051152"/>
    <w:rsid w:val="00051862"/>
    <w:rsid w:val="00056A7D"/>
    <w:rsid w:val="00057A59"/>
    <w:rsid w:val="00065712"/>
    <w:rsid w:val="00070D88"/>
    <w:rsid w:val="000725CC"/>
    <w:rsid w:val="00076E3A"/>
    <w:rsid w:val="00083A2D"/>
    <w:rsid w:val="0008573D"/>
    <w:rsid w:val="00094C33"/>
    <w:rsid w:val="000B1D15"/>
    <w:rsid w:val="000B7C4B"/>
    <w:rsid w:val="000C76ED"/>
    <w:rsid w:val="000C7CB4"/>
    <w:rsid w:val="000C7F64"/>
    <w:rsid w:val="000D237B"/>
    <w:rsid w:val="000E06BF"/>
    <w:rsid w:val="000E47CC"/>
    <w:rsid w:val="000F0D54"/>
    <w:rsid w:val="000F1494"/>
    <w:rsid w:val="000F57E3"/>
    <w:rsid w:val="00102519"/>
    <w:rsid w:val="001042BC"/>
    <w:rsid w:val="00104ECF"/>
    <w:rsid w:val="001061DB"/>
    <w:rsid w:val="0011276E"/>
    <w:rsid w:val="0011375F"/>
    <w:rsid w:val="001142AA"/>
    <w:rsid w:val="0012602C"/>
    <w:rsid w:val="00126C43"/>
    <w:rsid w:val="0013091E"/>
    <w:rsid w:val="00131510"/>
    <w:rsid w:val="001402BD"/>
    <w:rsid w:val="001412B3"/>
    <w:rsid w:val="001444BB"/>
    <w:rsid w:val="00146111"/>
    <w:rsid w:val="0014657D"/>
    <w:rsid w:val="00160762"/>
    <w:rsid w:val="001628F8"/>
    <w:rsid w:val="001703EB"/>
    <w:rsid w:val="00173698"/>
    <w:rsid w:val="00176F6C"/>
    <w:rsid w:val="001855C4"/>
    <w:rsid w:val="00185AD4"/>
    <w:rsid w:val="00186341"/>
    <w:rsid w:val="001878C9"/>
    <w:rsid w:val="00187C4C"/>
    <w:rsid w:val="001920CC"/>
    <w:rsid w:val="001B1BBC"/>
    <w:rsid w:val="001B202D"/>
    <w:rsid w:val="001B532A"/>
    <w:rsid w:val="001C0644"/>
    <w:rsid w:val="001C1AF3"/>
    <w:rsid w:val="001C1F1A"/>
    <w:rsid w:val="001C29A0"/>
    <w:rsid w:val="001D6C57"/>
    <w:rsid w:val="001E21B0"/>
    <w:rsid w:val="001E6EAE"/>
    <w:rsid w:val="001F33C3"/>
    <w:rsid w:val="001F4B5E"/>
    <w:rsid w:val="002002B3"/>
    <w:rsid w:val="00213382"/>
    <w:rsid w:val="00216222"/>
    <w:rsid w:val="00223FFA"/>
    <w:rsid w:val="00227C70"/>
    <w:rsid w:val="002301E9"/>
    <w:rsid w:val="002315C0"/>
    <w:rsid w:val="00233ECA"/>
    <w:rsid w:val="002465B4"/>
    <w:rsid w:val="002633D6"/>
    <w:rsid w:val="00267A39"/>
    <w:rsid w:val="00270122"/>
    <w:rsid w:val="00272386"/>
    <w:rsid w:val="00276217"/>
    <w:rsid w:val="00285E3A"/>
    <w:rsid w:val="00292EB5"/>
    <w:rsid w:val="00293E43"/>
    <w:rsid w:val="002A125E"/>
    <w:rsid w:val="002A2A97"/>
    <w:rsid w:val="002A2D22"/>
    <w:rsid w:val="002A70F1"/>
    <w:rsid w:val="002B43E1"/>
    <w:rsid w:val="002C1A6C"/>
    <w:rsid w:val="002C4B16"/>
    <w:rsid w:val="002C57CC"/>
    <w:rsid w:val="002C5BD7"/>
    <w:rsid w:val="002D2EBB"/>
    <w:rsid w:val="002D4755"/>
    <w:rsid w:val="002E03B6"/>
    <w:rsid w:val="002E23A1"/>
    <w:rsid w:val="002F02D0"/>
    <w:rsid w:val="002F1B9F"/>
    <w:rsid w:val="002F57F5"/>
    <w:rsid w:val="002F7893"/>
    <w:rsid w:val="00305273"/>
    <w:rsid w:val="003251D8"/>
    <w:rsid w:val="00325BAC"/>
    <w:rsid w:val="00333DD4"/>
    <w:rsid w:val="00334B02"/>
    <w:rsid w:val="00343AE4"/>
    <w:rsid w:val="00354267"/>
    <w:rsid w:val="0036107F"/>
    <w:rsid w:val="003611DD"/>
    <w:rsid w:val="00366A37"/>
    <w:rsid w:val="00367ED7"/>
    <w:rsid w:val="003733D4"/>
    <w:rsid w:val="0037384D"/>
    <w:rsid w:val="00393F75"/>
    <w:rsid w:val="003A6124"/>
    <w:rsid w:val="003B7164"/>
    <w:rsid w:val="003C22C9"/>
    <w:rsid w:val="003C2829"/>
    <w:rsid w:val="003C711F"/>
    <w:rsid w:val="003D33EC"/>
    <w:rsid w:val="003F2080"/>
    <w:rsid w:val="003F7EB8"/>
    <w:rsid w:val="003F7F8C"/>
    <w:rsid w:val="00400D70"/>
    <w:rsid w:val="00403874"/>
    <w:rsid w:val="00406649"/>
    <w:rsid w:val="0041376F"/>
    <w:rsid w:val="004160F7"/>
    <w:rsid w:val="0042152C"/>
    <w:rsid w:val="00425443"/>
    <w:rsid w:val="00433F16"/>
    <w:rsid w:val="00436382"/>
    <w:rsid w:val="004370D7"/>
    <w:rsid w:val="0044091A"/>
    <w:rsid w:val="00445B2A"/>
    <w:rsid w:val="00451A72"/>
    <w:rsid w:val="004660F8"/>
    <w:rsid w:val="004705B2"/>
    <w:rsid w:val="004740EA"/>
    <w:rsid w:val="0047629A"/>
    <w:rsid w:val="004944CD"/>
    <w:rsid w:val="004A179F"/>
    <w:rsid w:val="004B625A"/>
    <w:rsid w:val="004C1B60"/>
    <w:rsid w:val="004D61A4"/>
    <w:rsid w:val="004F0526"/>
    <w:rsid w:val="004F75FA"/>
    <w:rsid w:val="00502CB3"/>
    <w:rsid w:val="0051071B"/>
    <w:rsid w:val="00512A6F"/>
    <w:rsid w:val="0051714A"/>
    <w:rsid w:val="00526618"/>
    <w:rsid w:val="00527789"/>
    <w:rsid w:val="00531D77"/>
    <w:rsid w:val="0053218C"/>
    <w:rsid w:val="005333A5"/>
    <w:rsid w:val="00534CBC"/>
    <w:rsid w:val="0054413B"/>
    <w:rsid w:val="00545749"/>
    <w:rsid w:val="005554C5"/>
    <w:rsid w:val="005565B8"/>
    <w:rsid w:val="00570FDC"/>
    <w:rsid w:val="00573197"/>
    <w:rsid w:val="00583FF0"/>
    <w:rsid w:val="00584040"/>
    <w:rsid w:val="00584921"/>
    <w:rsid w:val="00592517"/>
    <w:rsid w:val="00595F10"/>
    <w:rsid w:val="005A2391"/>
    <w:rsid w:val="005A4B20"/>
    <w:rsid w:val="005A51DF"/>
    <w:rsid w:val="005B0631"/>
    <w:rsid w:val="005B0BFC"/>
    <w:rsid w:val="005B6D1D"/>
    <w:rsid w:val="005C11DA"/>
    <w:rsid w:val="005D0F82"/>
    <w:rsid w:val="005D1F8B"/>
    <w:rsid w:val="005D6CC3"/>
    <w:rsid w:val="005E4A0C"/>
    <w:rsid w:val="005F0689"/>
    <w:rsid w:val="005F2A01"/>
    <w:rsid w:val="005F5DB4"/>
    <w:rsid w:val="005F6909"/>
    <w:rsid w:val="005F7B26"/>
    <w:rsid w:val="0060120C"/>
    <w:rsid w:val="00606E76"/>
    <w:rsid w:val="00611BF4"/>
    <w:rsid w:val="00617434"/>
    <w:rsid w:val="00622FD4"/>
    <w:rsid w:val="0063547E"/>
    <w:rsid w:val="00636C8A"/>
    <w:rsid w:val="0064206F"/>
    <w:rsid w:val="006435A4"/>
    <w:rsid w:val="00644362"/>
    <w:rsid w:val="00652AA1"/>
    <w:rsid w:val="00662109"/>
    <w:rsid w:val="00665DBA"/>
    <w:rsid w:val="00680CBA"/>
    <w:rsid w:val="00682F3B"/>
    <w:rsid w:val="0069192C"/>
    <w:rsid w:val="006922CD"/>
    <w:rsid w:val="00693839"/>
    <w:rsid w:val="006A0CAB"/>
    <w:rsid w:val="006A7FD4"/>
    <w:rsid w:val="006B0DB3"/>
    <w:rsid w:val="006B4154"/>
    <w:rsid w:val="006B6957"/>
    <w:rsid w:val="006D15D9"/>
    <w:rsid w:val="006D54E9"/>
    <w:rsid w:val="006E38BE"/>
    <w:rsid w:val="006F1635"/>
    <w:rsid w:val="006F1A10"/>
    <w:rsid w:val="006F7084"/>
    <w:rsid w:val="00704D31"/>
    <w:rsid w:val="00711FE5"/>
    <w:rsid w:val="007167AE"/>
    <w:rsid w:val="00724B67"/>
    <w:rsid w:val="00725E2B"/>
    <w:rsid w:val="007265C2"/>
    <w:rsid w:val="00740479"/>
    <w:rsid w:val="00740BEB"/>
    <w:rsid w:val="007432CA"/>
    <w:rsid w:val="00744A8E"/>
    <w:rsid w:val="00747B79"/>
    <w:rsid w:val="00750266"/>
    <w:rsid w:val="007506E1"/>
    <w:rsid w:val="0075182A"/>
    <w:rsid w:val="00752BB1"/>
    <w:rsid w:val="00753439"/>
    <w:rsid w:val="00754D48"/>
    <w:rsid w:val="00755FA4"/>
    <w:rsid w:val="00761CD9"/>
    <w:rsid w:val="00767C03"/>
    <w:rsid w:val="007714C8"/>
    <w:rsid w:val="0077218B"/>
    <w:rsid w:val="00772BA7"/>
    <w:rsid w:val="0077433E"/>
    <w:rsid w:val="0077773F"/>
    <w:rsid w:val="0078031E"/>
    <w:rsid w:val="00784AC3"/>
    <w:rsid w:val="00786B17"/>
    <w:rsid w:val="00792818"/>
    <w:rsid w:val="007A4528"/>
    <w:rsid w:val="007A4947"/>
    <w:rsid w:val="007B247D"/>
    <w:rsid w:val="007C091D"/>
    <w:rsid w:val="007C2C50"/>
    <w:rsid w:val="007D630B"/>
    <w:rsid w:val="007D6FEA"/>
    <w:rsid w:val="007E01C2"/>
    <w:rsid w:val="007E08A3"/>
    <w:rsid w:val="007E4F19"/>
    <w:rsid w:val="007F1CE8"/>
    <w:rsid w:val="007F4BAB"/>
    <w:rsid w:val="007F72A2"/>
    <w:rsid w:val="00800C3D"/>
    <w:rsid w:val="008045CC"/>
    <w:rsid w:val="00806E78"/>
    <w:rsid w:val="00807601"/>
    <w:rsid w:val="0082034F"/>
    <w:rsid w:val="00825DFE"/>
    <w:rsid w:val="00827701"/>
    <w:rsid w:val="00830AD5"/>
    <w:rsid w:val="00837157"/>
    <w:rsid w:val="008503F4"/>
    <w:rsid w:val="00850976"/>
    <w:rsid w:val="00860EE2"/>
    <w:rsid w:val="0086328C"/>
    <w:rsid w:val="00871356"/>
    <w:rsid w:val="0087142F"/>
    <w:rsid w:val="00872F20"/>
    <w:rsid w:val="00881964"/>
    <w:rsid w:val="0088222B"/>
    <w:rsid w:val="0088754B"/>
    <w:rsid w:val="00892ABE"/>
    <w:rsid w:val="00894464"/>
    <w:rsid w:val="0089540A"/>
    <w:rsid w:val="008A07DF"/>
    <w:rsid w:val="008A15B0"/>
    <w:rsid w:val="008A7DC6"/>
    <w:rsid w:val="008B11CC"/>
    <w:rsid w:val="008B2BCF"/>
    <w:rsid w:val="008C0666"/>
    <w:rsid w:val="008C7136"/>
    <w:rsid w:val="008D1998"/>
    <w:rsid w:val="008E4A3C"/>
    <w:rsid w:val="008E6DA5"/>
    <w:rsid w:val="009076F1"/>
    <w:rsid w:val="0091288B"/>
    <w:rsid w:val="00912BD2"/>
    <w:rsid w:val="00915E70"/>
    <w:rsid w:val="009223AA"/>
    <w:rsid w:val="00922A78"/>
    <w:rsid w:val="00924D05"/>
    <w:rsid w:val="00932F2D"/>
    <w:rsid w:val="00932F9F"/>
    <w:rsid w:val="009332DF"/>
    <w:rsid w:val="0094705A"/>
    <w:rsid w:val="00963121"/>
    <w:rsid w:val="00963C26"/>
    <w:rsid w:val="009667A0"/>
    <w:rsid w:val="00967F5D"/>
    <w:rsid w:val="009705BD"/>
    <w:rsid w:val="009748F5"/>
    <w:rsid w:val="0099211D"/>
    <w:rsid w:val="00992A43"/>
    <w:rsid w:val="00992A88"/>
    <w:rsid w:val="009A2C51"/>
    <w:rsid w:val="009A3602"/>
    <w:rsid w:val="009A72E3"/>
    <w:rsid w:val="009C0865"/>
    <w:rsid w:val="009C123A"/>
    <w:rsid w:val="009D729A"/>
    <w:rsid w:val="009E755E"/>
    <w:rsid w:val="009F1B6C"/>
    <w:rsid w:val="009F43C6"/>
    <w:rsid w:val="009F59BF"/>
    <w:rsid w:val="009F6AAE"/>
    <w:rsid w:val="00A01089"/>
    <w:rsid w:val="00A041A0"/>
    <w:rsid w:val="00A11A42"/>
    <w:rsid w:val="00A121CA"/>
    <w:rsid w:val="00A17657"/>
    <w:rsid w:val="00A20412"/>
    <w:rsid w:val="00A211E9"/>
    <w:rsid w:val="00A217E7"/>
    <w:rsid w:val="00A231E6"/>
    <w:rsid w:val="00A25C24"/>
    <w:rsid w:val="00A26F28"/>
    <w:rsid w:val="00A36B7A"/>
    <w:rsid w:val="00A42473"/>
    <w:rsid w:val="00A443FF"/>
    <w:rsid w:val="00A4526A"/>
    <w:rsid w:val="00A4610D"/>
    <w:rsid w:val="00A5794B"/>
    <w:rsid w:val="00A71BBF"/>
    <w:rsid w:val="00A77B96"/>
    <w:rsid w:val="00A9648A"/>
    <w:rsid w:val="00AA319E"/>
    <w:rsid w:val="00AB112B"/>
    <w:rsid w:val="00AC0320"/>
    <w:rsid w:val="00AC2FAF"/>
    <w:rsid w:val="00AD1E25"/>
    <w:rsid w:val="00AD2AB1"/>
    <w:rsid w:val="00AD51A1"/>
    <w:rsid w:val="00B12BEB"/>
    <w:rsid w:val="00B13A4B"/>
    <w:rsid w:val="00B151D0"/>
    <w:rsid w:val="00B271D3"/>
    <w:rsid w:val="00B301A7"/>
    <w:rsid w:val="00B315F2"/>
    <w:rsid w:val="00B329C8"/>
    <w:rsid w:val="00B348D2"/>
    <w:rsid w:val="00B360B3"/>
    <w:rsid w:val="00B47D7D"/>
    <w:rsid w:val="00B70309"/>
    <w:rsid w:val="00B71AC2"/>
    <w:rsid w:val="00B76437"/>
    <w:rsid w:val="00B9228B"/>
    <w:rsid w:val="00B94F06"/>
    <w:rsid w:val="00B95BDA"/>
    <w:rsid w:val="00B970D2"/>
    <w:rsid w:val="00BA1111"/>
    <w:rsid w:val="00BA40D6"/>
    <w:rsid w:val="00BB1A7E"/>
    <w:rsid w:val="00BB3F02"/>
    <w:rsid w:val="00BC153D"/>
    <w:rsid w:val="00BD124F"/>
    <w:rsid w:val="00BD65DC"/>
    <w:rsid w:val="00BE06F6"/>
    <w:rsid w:val="00BE407B"/>
    <w:rsid w:val="00BE60FF"/>
    <w:rsid w:val="00BF3791"/>
    <w:rsid w:val="00BF5C9D"/>
    <w:rsid w:val="00BF7719"/>
    <w:rsid w:val="00BF7F7A"/>
    <w:rsid w:val="00C00F48"/>
    <w:rsid w:val="00C0123E"/>
    <w:rsid w:val="00C01317"/>
    <w:rsid w:val="00C1445D"/>
    <w:rsid w:val="00C1538B"/>
    <w:rsid w:val="00C16459"/>
    <w:rsid w:val="00C224E2"/>
    <w:rsid w:val="00C2353F"/>
    <w:rsid w:val="00C320F1"/>
    <w:rsid w:val="00C4361C"/>
    <w:rsid w:val="00C46CE3"/>
    <w:rsid w:val="00C51CB9"/>
    <w:rsid w:val="00C52F2D"/>
    <w:rsid w:val="00C563DF"/>
    <w:rsid w:val="00C5669D"/>
    <w:rsid w:val="00C57415"/>
    <w:rsid w:val="00C631C3"/>
    <w:rsid w:val="00C63F15"/>
    <w:rsid w:val="00C7419A"/>
    <w:rsid w:val="00C83E06"/>
    <w:rsid w:val="00C936DC"/>
    <w:rsid w:val="00C9565B"/>
    <w:rsid w:val="00CA5E9B"/>
    <w:rsid w:val="00CB09E9"/>
    <w:rsid w:val="00CB4D04"/>
    <w:rsid w:val="00CC1672"/>
    <w:rsid w:val="00CC1AA0"/>
    <w:rsid w:val="00CD0387"/>
    <w:rsid w:val="00CD3F12"/>
    <w:rsid w:val="00CD7CF0"/>
    <w:rsid w:val="00CE12A5"/>
    <w:rsid w:val="00CE4470"/>
    <w:rsid w:val="00CE628C"/>
    <w:rsid w:val="00CE6631"/>
    <w:rsid w:val="00CE6CD5"/>
    <w:rsid w:val="00CF1758"/>
    <w:rsid w:val="00CF28A4"/>
    <w:rsid w:val="00CF3368"/>
    <w:rsid w:val="00D03A8F"/>
    <w:rsid w:val="00D03B52"/>
    <w:rsid w:val="00D06A10"/>
    <w:rsid w:val="00D25B44"/>
    <w:rsid w:val="00D27ECD"/>
    <w:rsid w:val="00D35DA7"/>
    <w:rsid w:val="00D40076"/>
    <w:rsid w:val="00D42BA4"/>
    <w:rsid w:val="00D46596"/>
    <w:rsid w:val="00D472A7"/>
    <w:rsid w:val="00D50224"/>
    <w:rsid w:val="00D5067A"/>
    <w:rsid w:val="00D624A7"/>
    <w:rsid w:val="00D62F2F"/>
    <w:rsid w:val="00D70DC6"/>
    <w:rsid w:val="00D754C2"/>
    <w:rsid w:val="00D7715F"/>
    <w:rsid w:val="00D77C7D"/>
    <w:rsid w:val="00D96367"/>
    <w:rsid w:val="00DA18AA"/>
    <w:rsid w:val="00DB2803"/>
    <w:rsid w:val="00DC4E93"/>
    <w:rsid w:val="00DC5772"/>
    <w:rsid w:val="00DD0754"/>
    <w:rsid w:val="00DD1CB3"/>
    <w:rsid w:val="00DF4911"/>
    <w:rsid w:val="00E015BC"/>
    <w:rsid w:val="00E21528"/>
    <w:rsid w:val="00E25556"/>
    <w:rsid w:val="00E3063C"/>
    <w:rsid w:val="00E333E5"/>
    <w:rsid w:val="00E3352C"/>
    <w:rsid w:val="00E37455"/>
    <w:rsid w:val="00E379E3"/>
    <w:rsid w:val="00E42B39"/>
    <w:rsid w:val="00E47D5A"/>
    <w:rsid w:val="00E54DAF"/>
    <w:rsid w:val="00E552E4"/>
    <w:rsid w:val="00E6030A"/>
    <w:rsid w:val="00E64082"/>
    <w:rsid w:val="00E732BC"/>
    <w:rsid w:val="00E73647"/>
    <w:rsid w:val="00E74717"/>
    <w:rsid w:val="00E81103"/>
    <w:rsid w:val="00E833F8"/>
    <w:rsid w:val="00EB5B2F"/>
    <w:rsid w:val="00EB5C8B"/>
    <w:rsid w:val="00EC67F7"/>
    <w:rsid w:val="00EC7FF7"/>
    <w:rsid w:val="00ED0CF9"/>
    <w:rsid w:val="00ED5722"/>
    <w:rsid w:val="00EE3FCA"/>
    <w:rsid w:val="00EE4544"/>
    <w:rsid w:val="00EF0B37"/>
    <w:rsid w:val="00EF0BA6"/>
    <w:rsid w:val="00EF1CCC"/>
    <w:rsid w:val="00EF4FE9"/>
    <w:rsid w:val="00EF7BCC"/>
    <w:rsid w:val="00F01945"/>
    <w:rsid w:val="00F05219"/>
    <w:rsid w:val="00F150AB"/>
    <w:rsid w:val="00F1685B"/>
    <w:rsid w:val="00F17CE0"/>
    <w:rsid w:val="00F22AE4"/>
    <w:rsid w:val="00F23B99"/>
    <w:rsid w:val="00F26A42"/>
    <w:rsid w:val="00F30B53"/>
    <w:rsid w:val="00F312C1"/>
    <w:rsid w:val="00F342A2"/>
    <w:rsid w:val="00F41ED4"/>
    <w:rsid w:val="00F426B6"/>
    <w:rsid w:val="00F46BFA"/>
    <w:rsid w:val="00F52199"/>
    <w:rsid w:val="00F56B8D"/>
    <w:rsid w:val="00F64C8B"/>
    <w:rsid w:val="00F677A7"/>
    <w:rsid w:val="00F7168E"/>
    <w:rsid w:val="00F7178D"/>
    <w:rsid w:val="00F74213"/>
    <w:rsid w:val="00F830E0"/>
    <w:rsid w:val="00F86B9C"/>
    <w:rsid w:val="00F90B50"/>
    <w:rsid w:val="00F9194E"/>
    <w:rsid w:val="00F92103"/>
    <w:rsid w:val="00F94856"/>
    <w:rsid w:val="00F97110"/>
    <w:rsid w:val="00FB1EDA"/>
    <w:rsid w:val="00FB511C"/>
    <w:rsid w:val="00FB6BBB"/>
    <w:rsid w:val="00FC0422"/>
    <w:rsid w:val="00FD24E5"/>
    <w:rsid w:val="00FD2FD9"/>
    <w:rsid w:val="00FD307A"/>
    <w:rsid w:val="00FD45B6"/>
    <w:rsid w:val="00FD6413"/>
    <w:rsid w:val="00FF20ED"/>
    <w:rsid w:val="01D410AE"/>
    <w:rsid w:val="022B42B4"/>
    <w:rsid w:val="023B70CE"/>
    <w:rsid w:val="024B52AA"/>
    <w:rsid w:val="02726DBA"/>
    <w:rsid w:val="02D23086"/>
    <w:rsid w:val="02E334E5"/>
    <w:rsid w:val="034377AE"/>
    <w:rsid w:val="03690342"/>
    <w:rsid w:val="039E56C8"/>
    <w:rsid w:val="040C5119"/>
    <w:rsid w:val="044C26E6"/>
    <w:rsid w:val="04625F15"/>
    <w:rsid w:val="050C58A5"/>
    <w:rsid w:val="059C1AE3"/>
    <w:rsid w:val="05E50F2B"/>
    <w:rsid w:val="069514A8"/>
    <w:rsid w:val="078828AD"/>
    <w:rsid w:val="079C1315"/>
    <w:rsid w:val="082A6CC4"/>
    <w:rsid w:val="08AE77C3"/>
    <w:rsid w:val="092951FB"/>
    <w:rsid w:val="095A3948"/>
    <w:rsid w:val="0A7771BE"/>
    <w:rsid w:val="0AA51F88"/>
    <w:rsid w:val="0BD20D7E"/>
    <w:rsid w:val="0D7548E5"/>
    <w:rsid w:val="0D873A79"/>
    <w:rsid w:val="0DA72306"/>
    <w:rsid w:val="0E7F223C"/>
    <w:rsid w:val="0EA61077"/>
    <w:rsid w:val="0EE93962"/>
    <w:rsid w:val="0F341B73"/>
    <w:rsid w:val="0F61453D"/>
    <w:rsid w:val="0FCE72CB"/>
    <w:rsid w:val="10304311"/>
    <w:rsid w:val="109F372D"/>
    <w:rsid w:val="10C77FA2"/>
    <w:rsid w:val="10CD3C50"/>
    <w:rsid w:val="117E335D"/>
    <w:rsid w:val="11B466AE"/>
    <w:rsid w:val="12233672"/>
    <w:rsid w:val="124B34BF"/>
    <w:rsid w:val="12B8554B"/>
    <w:rsid w:val="132C5457"/>
    <w:rsid w:val="13B32ABA"/>
    <w:rsid w:val="13CD6742"/>
    <w:rsid w:val="13D917AD"/>
    <w:rsid w:val="13E4262D"/>
    <w:rsid w:val="14587252"/>
    <w:rsid w:val="14922ADD"/>
    <w:rsid w:val="153100E0"/>
    <w:rsid w:val="155748F0"/>
    <w:rsid w:val="16740A40"/>
    <w:rsid w:val="16CE00FC"/>
    <w:rsid w:val="16E12346"/>
    <w:rsid w:val="17081F3A"/>
    <w:rsid w:val="170830C2"/>
    <w:rsid w:val="177F3685"/>
    <w:rsid w:val="189534DF"/>
    <w:rsid w:val="18964F73"/>
    <w:rsid w:val="195A1B16"/>
    <w:rsid w:val="19A96AAF"/>
    <w:rsid w:val="1A3B2591"/>
    <w:rsid w:val="1A607BD9"/>
    <w:rsid w:val="1A6C5DD9"/>
    <w:rsid w:val="1ABC2A04"/>
    <w:rsid w:val="1B0D6EF9"/>
    <w:rsid w:val="1B367463"/>
    <w:rsid w:val="1B5062B9"/>
    <w:rsid w:val="1B523D84"/>
    <w:rsid w:val="1B6947EA"/>
    <w:rsid w:val="1B771D98"/>
    <w:rsid w:val="1BCB2B72"/>
    <w:rsid w:val="1BE614F8"/>
    <w:rsid w:val="1C583672"/>
    <w:rsid w:val="1C8748C9"/>
    <w:rsid w:val="1D700B28"/>
    <w:rsid w:val="1D9450B1"/>
    <w:rsid w:val="1DF104E4"/>
    <w:rsid w:val="1E542D23"/>
    <w:rsid w:val="1E7101EF"/>
    <w:rsid w:val="1EBD1DBA"/>
    <w:rsid w:val="1ED81A83"/>
    <w:rsid w:val="1EF02590"/>
    <w:rsid w:val="200644B4"/>
    <w:rsid w:val="207E3AF0"/>
    <w:rsid w:val="20894FBA"/>
    <w:rsid w:val="20B47FDF"/>
    <w:rsid w:val="20FD356C"/>
    <w:rsid w:val="21042B4C"/>
    <w:rsid w:val="21074031"/>
    <w:rsid w:val="21A954DC"/>
    <w:rsid w:val="21BC45BF"/>
    <w:rsid w:val="22921C44"/>
    <w:rsid w:val="236B573C"/>
    <w:rsid w:val="239E1D71"/>
    <w:rsid w:val="243467B4"/>
    <w:rsid w:val="24632D86"/>
    <w:rsid w:val="248C70E1"/>
    <w:rsid w:val="24BB38C4"/>
    <w:rsid w:val="24DA4597"/>
    <w:rsid w:val="25421913"/>
    <w:rsid w:val="255E6555"/>
    <w:rsid w:val="258D0A44"/>
    <w:rsid w:val="25CD160D"/>
    <w:rsid w:val="26011181"/>
    <w:rsid w:val="262F21C8"/>
    <w:rsid w:val="2652217E"/>
    <w:rsid w:val="26C7735D"/>
    <w:rsid w:val="26E30D4A"/>
    <w:rsid w:val="2700751C"/>
    <w:rsid w:val="27162343"/>
    <w:rsid w:val="27466923"/>
    <w:rsid w:val="284D1B6A"/>
    <w:rsid w:val="28B87BAF"/>
    <w:rsid w:val="290870F3"/>
    <w:rsid w:val="29521439"/>
    <w:rsid w:val="29E168DD"/>
    <w:rsid w:val="2A153E91"/>
    <w:rsid w:val="2B6965F9"/>
    <w:rsid w:val="2B804188"/>
    <w:rsid w:val="2C131E96"/>
    <w:rsid w:val="2CD26EDA"/>
    <w:rsid w:val="2D5D6575"/>
    <w:rsid w:val="2DD24B80"/>
    <w:rsid w:val="2DE47F44"/>
    <w:rsid w:val="2DF06F25"/>
    <w:rsid w:val="2E14093B"/>
    <w:rsid w:val="2ED70E25"/>
    <w:rsid w:val="2EF050D9"/>
    <w:rsid w:val="2FBC2DC6"/>
    <w:rsid w:val="30610DD9"/>
    <w:rsid w:val="31863998"/>
    <w:rsid w:val="31AD673B"/>
    <w:rsid w:val="31BF03CC"/>
    <w:rsid w:val="31C73776"/>
    <w:rsid w:val="327E7729"/>
    <w:rsid w:val="337F4458"/>
    <w:rsid w:val="33B16B92"/>
    <w:rsid w:val="33BF0AE5"/>
    <w:rsid w:val="33FD7B04"/>
    <w:rsid w:val="341744ED"/>
    <w:rsid w:val="34483CFE"/>
    <w:rsid w:val="344A2B14"/>
    <w:rsid w:val="347656C0"/>
    <w:rsid w:val="357E5D85"/>
    <w:rsid w:val="35F248B2"/>
    <w:rsid w:val="361C351B"/>
    <w:rsid w:val="37607FE3"/>
    <w:rsid w:val="37BF709F"/>
    <w:rsid w:val="38174AF6"/>
    <w:rsid w:val="386505D2"/>
    <w:rsid w:val="38F670C6"/>
    <w:rsid w:val="39530C0E"/>
    <w:rsid w:val="39BF5A95"/>
    <w:rsid w:val="39CD2D04"/>
    <w:rsid w:val="39D55895"/>
    <w:rsid w:val="3A037E25"/>
    <w:rsid w:val="3A3B1A92"/>
    <w:rsid w:val="3B6E2EEB"/>
    <w:rsid w:val="3BD54011"/>
    <w:rsid w:val="3C3A3449"/>
    <w:rsid w:val="3C861986"/>
    <w:rsid w:val="3D011837"/>
    <w:rsid w:val="3D8D0D11"/>
    <w:rsid w:val="3DC42F13"/>
    <w:rsid w:val="3DC81F96"/>
    <w:rsid w:val="3DC951DC"/>
    <w:rsid w:val="3E850E1C"/>
    <w:rsid w:val="3F4C624D"/>
    <w:rsid w:val="3F7B0757"/>
    <w:rsid w:val="3F927066"/>
    <w:rsid w:val="3FC93532"/>
    <w:rsid w:val="40222259"/>
    <w:rsid w:val="403F5505"/>
    <w:rsid w:val="41376F5B"/>
    <w:rsid w:val="416B6CE2"/>
    <w:rsid w:val="41A164BD"/>
    <w:rsid w:val="42260FFE"/>
    <w:rsid w:val="423E406D"/>
    <w:rsid w:val="424D6CD8"/>
    <w:rsid w:val="426367FC"/>
    <w:rsid w:val="42FA2267"/>
    <w:rsid w:val="431B57FD"/>
    <w:rsid w:val="43EC3E63"/>
    <w:rsid w:val="44260DE3"/>
    <w:rsid w:val="443C3975"/>
    <w:rsid w:val="44DA730F"/>
    <w:rsid w:val="452744EA"/>
    <w:rsid w:val="461F2125"/>
    <w:rsid w:val="468363E1"/>
    <w:rsid w:val="46AA6B9B"/>
    <w:rsid w:val="46B87C02"/>
    <w:rsid w:val="46E26A74"/>
    <w:rsid w:val="46F36C73"/>
    <w:rsid w:val="473C6ECF"/>
    <w:rsid w:val="47A14CB3"/>
    <w:rsid w:val="47AC00DC"/>
    <w:rsid w:val="48202E95"/>
    <w:rsid w:val="488F30EF"/>
    <w:rsid w:val="492B7055"/>
    <w:rsid w:val="495E1F3A"/>
    <w:rsid w:val="4964439B"/>
    <w:rsid w:val="499E5CDC"/>
    <w:rsid w:val="49D92519"/>
    <w:rsid w:val="4A193D4A"/>
    <w:rsid w:val="4A88710F"/>
    <w:rsid w:val="4AC675C6"/>
    <w:rsid w:val="4B5A7413"/>
    <w:rsid w:val="4D47351E"/>
    <w:rsid w:val="4D580008"/>
    <w:rsid w:val="4E5D4352"/>
    <w:rsid w:val="4E9D7BB6"/>
    <w:rsid w:val="4F275AD4"/>
    <w:rsid w:val="4F2F21F7"/>
    <w:rsid w:val="4FF459E5"/>
    <w:rsid w:val="5000269E"/>
    <w:rsid w:val="500D471D"/>
    <w:rsid w:val="50A22C66"/>
    <w:rsid w:val="51050729"/>
    <w:rsid w:val="51E77F9E"/>
    <w:rsid w:val="51EB424C"/>
    <w:rsid w:val="52533722"/>
    <w:rsid w:val="541811E7"/>
    <w:rsid w:val="548B18EF"/>
    <w:rsid w:val="54B22997"/>
    <w:rsid w:val="556577A2"/>
    <w:rsid w:val="560863F7"/>
    <w:rsid w:val="57BC2625"/>
    <w:rsid w:val="586412A4"/>
    <w:rsid w:val="595F5948"/>
    <w:rsid w:val="5A3504D8"/>
    <w:rsid w:val="5A817E14"/>
    <w:rsid w:val="5AAF4373"/>
    <w:rsid w:val="5B04316E"/>
    <w:rsid w:val="5B2045E3"/>
    <w:rsid w:val="5B2A4FDA"/>
    <w:rsid w:val="5B980D24"/>
    <w:rsid w:val="5BA627FE"/>
    <w:rsid w:val="5BE340D7"/>
    <w:rsid w:val="5CA76815"/>
    <w:rsid w:val="5DCF2BE1"/>
    <w:rsid w:val="5E331DA0"/>
    <w:rsid w:val="5E3C3556"/>
    <w:rsid w:val="5E462973"/>
    <w:rsid w:val="5E983B04"/>
    <w:rsid w:val="5F5C77F3"/>
    <w:rsid w:val="5F854F34"/>
    <w:rsid w:val="600E4496"/>
    <w:rsid w:val="614F1975"/>
    <w:rsid w:val="616F4B82"/>
    <w:rsid w:val="61967851"/>
    <w:rsid w:val="6252656D"/>
    <w:rsid w:val="625C6237"/>
    <w:rsid w:val="626C0D42"/>
    <w:rsid w:val="627A2389"/>
    <w:rsid w:val="629152E7"/>
    <w:rsid w:val="62CE742F"/>
    <w:rsid w:val="6380669A"/>
    <w:rsid w:val="64410F8F"/>
    <w:rsid w:val="650B58F7"/>
    <w:rsid w:val="659325EB"/>
    <w:rsid w:val="65ED1348"/>
    <w:rsid w:val="66B20F76"/>
    <w:rsid w:val="66C739CD"/>
    <w:rsid w:val="678B1C94"/>
    <w:rsid w:val="67A71D42"/>
    <w:rsid w:val="67E84D48"/>
    <w:rsid w:val="67F25B62"/>
    <w:rsid w:val="68AF0399"/>
    <w:rsid w:val="68F06E01"/>
    <w:rsid w:val="691B1F51"/>
    <w:rsid w:val="69261942"/>
    <w:rsid w:val="69BE6162"/>
    <w:rsid w:val="6B4E079F"/>
    <w:rsid w:val="6B81788A"/>
    <w:rsid w:val="6BB32A81"/>
    <w:rsid w:val="6D4926FC"/>
    <w:rsid w:val="6DB11FCC"/>
    <w:rsid w:val="6DEC1F6B"/>
    <w:rsid w:val="6E087371"/>
    <w:rsid w:val="6E294A97"/>
    <w:rsid w:val="6E731D44"/>
    <w:rsid w:val="6EBC3078"/>
    <w:rsid w:val="6F6C6A73"/>
    <w:rsid w:val="6F733A6D"/>
    <w:rsid w:val="6F9C72F3"/>
    <w:rsid w:val="70385A59"/>
    <w:rsid w:val="707B59FE"/>
    <w:rsid w:val="71951611"/>
    <w:rsid w:val="730B7318"/>
    <w:rsid w:val="73640B3B"/>
    <w:rsid w:val="74862400"/>
    <w:rsid w:val="74A80B91"/>
    <w:rsid w:val="74E57876"/>
    <w:rsid w:val="753A11C8"/>
    <w:rsid w:val="75B06BD5"/>
    <w:rsid w:val="768F388D"/>
    <w:rsid w:val="76EC074D"/>
    <w:rsid w:val="770C3DA4"/>
    <w:rsid w:val="77250742"/>
    <w:rsid w:val="77870DF7"/>
    <w:rsid w:val="77DC14C2"/>
    <w:rsid w:val="78E551F6"/>
    <w:rsid w:val="78EA6DEC"/>
    <w:rsid w:val="7A0E1474"/>
    <w:rsid w:val="7B3B2E58"/>
    <w:rsid w:val="7B6969A9"/>
    <w:rsid w:val="7BD44D67"/>
    <w:rsid w:val="7C101A32"/>
    <w:rsid w:val="7C370081"/>
    <w:rsid w:val="7C4C11F0"/>
    <w:rsid w:val="7E110D76"/>
    <w:rsid w:val="7E5E0D78"/>
    <w:rsid w:val="7EB47BD1"/>
    <w:rsid w:val="7F6B0D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3"/>
    <w:basedOn w:val="1"/>
    <w:next w:val="1"/>
    <w:qFormat/>
    <w:uiPriority w:val="0"/>
    <w:pPr>
      <w:keepNext/>
      <w:keepLines/>
      <w:spacing w:beforeLines="0" w:beforeAutospacing="0" w:afterLines="0" w:afterAutospacing="0" w:line="240" w:lineRule="auto"/>
      <w:outlineLvl w:val="2"/>
    </w:pPr>
    <w:rPr>
      <w:rFonts w:ascii="Times New Roman" w:hAnsi="Times New Roman" w:eastAsia="宋体"/>
      <w:sz w:val="32"/>
    </w:rPr>
  </w:style>
  <w:style w:type="character" w:default="1" w:styleId="12">
    <w:name w:val="Default Paragraph Font"/>
    <w:autoRedefine/>
    <w:qFormat/>
    <w:uiPriority w:val="0"/>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link w:val="17"/>
    <w:autoRedefine/>
    <w:unhideWhenUsed/>
    <w:qFormat/>
    <w:uiPriority w:val="99"/>
    <w:pPr>
      <w:jc w:val="left"/>
    </w:pPr>
  </w:style>
  <w:style w:type="paragraph" w:styleId="4">
    <w:name w:val="Body Text"/>
    <w:basedOn w:val="1"/>
    <w:autoRedefine/>
    <w:qFormat/>
    <w:uiPriority w:val="0"/>
    <w:pPr>
      <w:spacing w:after="120"/>
    </w:pPr>
    <w:rPr>
      <w:kern w:val="1"/>
    </w:rPr>
  </w:style>
  <w:style w:type="paragraph" w:styleId="5">
    <w:name w:val="Body Text Indent"/>
    <w:basedOn w:val="1"/>
    <w:autoRedefine/>
    <w:qFormat/>
    <w:uiPriority w:val="0"/>
    <w:pPr>
      <w:spacing w:line="300" w:lineRule="auto"/>
      <w:ind w:firstLine="420"/>
    </w:pPr>
    <w:rPr>
      <w:rFonts w:ascii="楷体_GB2312" w:hAnsi="楷体_GB2312" w:eastAsia="Arial Unicode MS" w:cs="宋体"/>
      <w:kern w:val="1"/>
    </w:rPr>
  </w:style>
  <w:style w:type="paragraph" w:styleId="6">
    <w:name w:val="Body Text Indent 2"/>
    <w:basedOn w:val="1"/>
    <w:autoRedefine/>
    <w:qFormat/>
    <w:uiPriority w:val="0"/>
    <w:pPr>
      <w:spacing w:line="300" w:lineRule="auto"/>
      <w:ind w:firstLine="420"/>
    </w:pPr>
    <w:rPr>
      <w:kern w:val="1"/>
      <w:sz w:val="24"/>
    </w:rPr>
  </w:style>
  <w:style w:type="paragraph" w:styleId="7">
    <w:name w:val="Balloon Text"/>
    <w:basedOn w:val="1"/>
    <w:link w:val="18"/>
    <w:autoRedefine/>
    <w:unhideWhenUsed/>
    <w:qFormat/>
    <w:uiPriority w:val="99"/>
    <w:rPr>
      <w:sz w:val="18"/>
      <w:szCs w:val="18"/>
    </w:rPr>
  </w:style>
  <w:style w:type="paragraph" w:styleId="8">
    <w:name w:val="footer"/>
    <w:basedOn w:val="1"/>
    <w:autoRedefine/>
    <w:qFormat/>
    <w:uiPriority w:val="0"/>
    <w:pPr>
      <w:tabs>
        <w:tab w:val="center" w:pos="4153"/>
        <w:tab w:val="right" w:pos="8306"/>
      </w:tabs>
      <w:jc w:val="left"/>
    </w:pPr>
    <w:rPr>
      <w:kern w:val="1"/>
      <w:sz w:val="18"/>
      <w:szCs w:val="18"/>
    </w:rPr>
  </w:style>
  <w:style w:type="paragraph" w:styleId="9">
    <w:name w:val="header"/>
    <w:basedOn w:val="1"/>
    <w:link w:val="19"/>
    <w:autoRedefine/>
    <w:qFormat/>
    <w:uiPriority w:val="0"/>
    <w:pPr>
      <w:pBdr>
        <w:bottom w:val="single" w:color="000000" w:sz="6" w:space="1"/>
      </w:pBdr>
      <w:tabs>
        <w:tab w:val="center" w:pos="4153"/>
        <w:tab w:val="right" w:pos="8306"/>
      </w:tabs>
      <w:jc w:val="center"/>
    </w:pPr>
    <w:rPr>
      <w:kern w:val="1"/>
      <w:sz w:val="18"/>
      <w:szCs w:val="18"/>
    </w:rPr>
  </w:style>
  <w:style w:type="paragraph" w:styleId="10">
    <w:name w:val="annotation subject"/>
    <w:basedOn w:val="3"/>
    <w:next w:val="3"/>
    <w:link w:val="20"/>
    <w:autoRedefine/>
    <w:unhideWhenUsed/>
    <w:qFormat/>
    <w:uiPriority w:val="99"/>
    <w:rPr>
      <w:b/>
      <w:bCs/>
    </w:rPr>
  </w:style>
  <w:style w:type="character" w:styleId="13">
    <w:name w:val="Strong"/>
    <w:autoRedefine/>
    <w:qFormat/>
    <w:uiPriority w:val="0"/>
    <w:rPr>
      <w:b/>
    </w:rPr>
  </w:style>
  <w:style w:type="character" w:styleId="14">
    <w:name w:val="page number"/>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unhideWhenUsed/>
    <w:qFormat/>
    <w:uiPriority w:val="99"/>
    <w:rPr>
      <w:sz w:val="21"/>
      <w:szCs w:val="21"/>
    </w:rPr>
  </w:style>
  <w:style w:type="character" w:customStyle="1" w:styleId="17">
    <w:name w:val="批注文字 Char"/>
    <w:basedOn w:val="12"/>
    <w:link w:val="3"/>
    <w:autoRedefine/>
    <w:semiHidden/>
    <w:qFormat/>
    <w:uiPriority w:val="99"/>
    <w:rPr>
      <w:color w:val="000000"/>
      <w:sz w:val="21"/>
      <w:szCs w:val="24"/>
    </w:rPr>
  </w:style>
  <w:style w:type="character" w:customStyle="1" w:styleId="18">
    <w:name w:val="批注框文本 Char"/>
    <w:link w:val="7"/>
    <w:autoRedefine/>
    <w:semiHidden/>
    <w:qFormat/>
    <w:uiPriority w:val="99"/>
    <w:rPr>
      <w:color w:val="000000"/>
      <w:sz w:val="18"/>
      <w:szCs w:val="18"/>
    </w:rPr>
  </w:style>
  <w:style w:type="character" w:customStyle="1" w:styleId="19">
    <w:name w:val="页眉 Char"/>
    <w:link w:val="9"/>
    <w:autoRedefine/>
    <w:qFormat/>
    <w:uiPriority w:val="0"/>
    <w:rPr>
      <w:color w:val="000000"/>
      <w:kern w:val="1"/>
      <w:sz w:val="18"/>
      <w:szCs w:val="18"/>
    </w:rPr>
  </w:style>
  <w:style w:type="character" w:customStyle="1" w:styleId="20">
    <w:name w:val="批注主题 Char"/>
    <w:basedOn w:val="17"/>
    <w:link w:val="10"/>
    <w:autoRedefine/>
    <w:semiHidden/>
    <w:qFormat/>
    <w:uiPriority w:val="99"/>
    <w:rPr>
      <w:b/>
      <w:bCs/>
    </w:rPr>
  </w:style>
  <w:style w:type="character" w:customStyle="1" w:styleId="21">
    <w:name w:val="question-title2"/>
    <w:autoRedefine/>
    <w:qFormat/>
    <w:uiPriority w:val="0"/>
  </w:style>
  <w:style w:type="paragraph" w:customStyle="1" w:styleId="22">
    <w:name w:val="p0"/>
    <w:basedOn w:val="1"/>
    <w:autoRedefine/>
    <w:qFormat/>
    <w:uiPriority w:val="0"/>
    <w:pPr>
      <w:widowControl/>
    </w:pPr>
    <w:rPr>
      <w:kern w:val="1"/>
      <w:szCs w:val="20"/>
    </w:rPr>
  </w:style>
  <w:style w:type="paragraph" w:customStyle="1" w:styleId="23">
    <w:name w:val="_Style 21"/>
    <w:autoRedefine/>
    <w:unhideWhenUsed/>
    <w:qFormat/>
    <w:uiPriority w:val="99"/>
    <w:rPr>
      <w:rFonts w:ascii="Times New Roman" w:hAnsi="Times New Roman" w:eastAsia="宋体" w:cs="Times New Roman"/>
      <w:color w:val="000000"/>
      <w:sz w:val="21"/>
      <w:szCs w:val="24"/>
      <w:lang w:val="en-US" w:eastAsia="zh-CN" w:bidi="ar-SA"/>
    </w:rPr>
  </w:style>
  <w:style w:type="paragraph" w:styleId="24">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10633</Words>
  <Characters>12285</Characters>
  <Lines>192</Lines>
  <Paragraphs>54</Paragraphs>
  <TotalTime>19</TotalTime>
  <ScaleCrop>false</ScaleCrop>
  <LinksUpToDate>false</LinksUpToDate>
  <CharactersWithSpaces>12287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2021-12-04T04:33:00Z</dcterms:created>
  <dc:creator>xx</dc:creator>
  <cp:lastModifiedBy>王容舟</cp:lastModifiedBy>
  <cp:lastPrinted>2024-03-22T05:00:00Z</cp:lastPrinted>
  <dcterms:modified xsi:type="dcterms:W3CDTF">2025-05-07T10:14:13Z</dcterms:modified>
  <dc:title>中装协（2001）10号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D1AC1EAADC5C4F038D17C481A67079D8_13</vt:lpwstr>
  </property>
  <property fmtid="{D5CDD505-2E9C-101B-9397-08002B2CF9AE}" pid="4" name="KSOTemplateDocerSaveRecord">
    <vt:lpwstr>eyJoZGlkIjoiNGZjZTQ1YjkzYjYzYjNiM2UxY2YxYzljZGNhM2NiMTciLCJ1c2VySWQiOiIxNTg5NzY5OTQyIn0=</vt:lpwstr>
  </property>
</Properties>
</file>