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rPr>
          <w:rFonts w:hint="eastAsia" w:ascii="仿宋_GB2312" w:hAnsi="仿宋_GB2312" w:cs="Arial Unicode MS"/>
          <w:b/>
          <w:color w:val="auto"/>
          <w:kern w:val="1"/>
          <w:sz w:val="28"/>
          <w:szCs w:val="28"/>
        </w:rPr>
      </w:pPr>
      <w:r>
        <w:rPr>
          <w:rFonts w:hint="eastAsia" w:ascii="仿宋_GB2312" w:hAnsi="仿宋_GB2312" w:eastAsia="Arial Unicode MS" w:cs="Arial Unicode MS"/>
          <w:b/>
          <w:color w:val="auto"/>
          <w:kern w:val="1"/>
          <w:sz w:val="28"/>
          <w:szCs w:val="28"/>
        </w:rPr>
        <w:t>附件7</w:t>
      </w:r>
      <w:bookmarkStart w:id="0" w:name="_GoBack"/>
      <w:bookmarkEnd w:id="0"/>
    </w:p>
    <w:p>
      <w:pPr>
        <w:spacing w:line="312" w:lineRule="auto"/>
        <w:jc w:val="center"/>
        <w:rPr>
          <w:rFonts w:ascii="黑体" w:hAnsi="黑体" w:eastAsia="黑体" w:cs="黑体"/>
          <w:b/>
          <w:color w:val="auto"/>
          <w:spacing w:val="-3"/>
          <w:kern w:val="1"/>
          <w:sz w:val="32"/>
          <w:szCs w:val="32"/>
        </w:rPr>
      </w:pPr>
      <w:r>
        <w:rPr>
          <w:rFonts w:ascii="黑体" w:hAnsi="黑体" w:eastAsia="黑体" w:cs="黑体"/>
          <w:b/>
          <w:color w:val="auto"/>
          <w:spacing w:val="-3"/>
          <w:kern w:val="1"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color w:val="auto"/>
          <w:spacing w:val="-3"/>
          <w:kern w:val="1"/>
          <w:sz w:val="32"/>
          <w:szCs w:val="32"/>
        </w:rPr>
        <w:t>22</w:t>
      </w:r>
      <w:r>
        <w:rPr>
          <w:rFonts w:ascii="黑体" w:hAnsi="黑体" w:eastAsia="黑体" w:cs="黑体"/>
          <w:b/>
          <w:color w:val="auto"/>
          <w:spacing w:val="-3"/>
          <w:kern w:val="1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color w:val="auto"/>
          <w:spacing w:val="-3"/>
          <w:kern w:val="1"/>
          <w:sz w:val="32"/>
          <w:szCs w:val="32"/>
        </w:rPr>
        <w:t>度</w:t>
      </w:r>
      <w:r>
        <w:rPr>
          <w:rFonts w:ascii="黑体" w:hAnsi="黑体" w:eastAsia="黑体" w:cs="黑体"/>
          <w:b/>
          <w:color w:val="auto"/>
          <w:spacing w:val="-3"/>
          <w:kern w:val="1"/>
          <w:sz w:val="32"/>
          <w:szCs w:val="32"/>
        </w:rPr>
        <w:t>广西建筑装饰工程优质奖（建筑装饰设计类）</w:t>
      </w:r>
    </w:p>
    <w:p>
      <w:pPr>
        <w:spacing w:line="312" w:lineRule="auto"/>
        <w:jc w:val="center"/>
        <w:rPr>
          <w:rFonts w:ascii="方正小标宋简体" w:hAnsi="方正小标宋简体" w:eastAsia="微软雅黑" w:cs="方正小标宋简体"/>
          <w:color w:val="auto"/>
          <w:spacing w:val="-4"/>
          <w:kern w:val="1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pacing w:val="-3"/>
          <w:kern w:val="1"/>
          <w:sz w:val="32"/>
          <w:szCs w:val="32"/>
        </w:rPr>
        <w:t>（含幕墙）</w:t>
      </w:r>
      <w:r>
        <w:rPr>
          <w:rFonts w:ascii="黑体" w:hAnsi="黑体" w:eastAsia="黑体" w:cs="黑体"/>
          <w:b/>
          <w:color w:val="auto"/>
          <w:spacing w:val="-3"/>
          <w:kern w:val="1"/>
          <w:sz w:val="32"/>
          <w:szCs w:val="32"/>
        </w:rPr>
        <w:t>工程复查实施细则</w:t>
      </w:r>
    </w:p>
    <w:p>
      <w:pPr>
        <w:spacing w:line="312" w:lineRule="auto"/>
        <w:rPr>
          <w:rFonts w:eastAsia="黑体"/>
          <w:b/>
          <w:color w:val="auto"/>
          <w:kern w:val="1"/>
          <w:szCs w:val="28"/>
        </w:rPr>
      </w:pPr>
      <w:r>
        <w:rPr>
          <w:rFonts w:eastAsia="黑体"/>
          <w:b/>
          <w:color w:val="auto"/>
          <w:kern w:val="1"/>
          <w:szCs w:val="28"/>
        </w:rPr>
        <w:t xml:space="preserve">   </w:t>
      </w:r>
    </w:p>
    <w:p>
      <w:pPr>
        <w:numPr>
          <w:ilvl w:val="0"/>
          <w:numId w:val="1"/>
        </w:numPr>
        <w:spacing w:line="336" w:lineRule="auto"/>
        <w:ind w:firstLine="560"/>
        <w:rPr>
          <w:rFonts w:hint="eastAsia" w:ascii="宋体" w:hAnsi="宋体" w:cs="仿宋_GB2312"/>
          <w:b/>
          <w:color w:val="auto"/>
          <w:kern w:val="1"/>
          <w:sz w:val="28"/>
          <w:szCs w:val="28"/>
        </w:rPr>
      </w:pPr>
      <w:r>
        <w:rPr>
          <w:rFonts w:hint="eastAsia" w:ascii="宋体" w:hAnsi="宋体" w:cs="仿宋_GB2312"/>
          <w:b/>
          <w:color w:val="auto"/>
          <w:kern w:val="1"/>
          <w:sz w:val="28"/>
          <w:szCs w:val="28"/>
        </w:rPr>
        <w:t>评分标准及要求：</w:t>
      </w:r>
    </w:p>
    <w:p>
      <w:pPr>
        <w:snapToGrid w:val="0"/>
        <w:spacing w:line="240" w:lineRule="atLeast"/>
        <w:ind w:firstLine="562" w:firstLineChars="200"/>
        <w:contextualSpacing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/>
          <w:b/>
          <w:color w:val="auto"/>
          <w:sz w:val="28"/>
        </w:rPr>
        <w:t>所有申报的工程必须初审，初审合格，经过公示后的项目才能</w:t>
      </w:r>
      <w:r>
        <w:rPr>
          <w:rFonts w:ascii="宋体" w:hAnsi="宋体"/>
          <w:b/>
          <w:color w:val="auto"/>
          <w:sz w:val="28"/>
        </w:rPr>
        <w:t>列入</w:t>
      </w:r>
      <w:r>
        <w:rPr>
          <w:rFonts w:hint="eastAsia" w:ascii="宋体" w:hAnsi="宋体"/>
          <w:b/>
          <w:color w:val="auto"/>
          <w:sz w:val="28"/>
        </w:rPr>
        <w:t>现场</w:t>
      </w:r>
      <w:r>
        <w:rPr>
          <w:rFonts w:ascii="宋体" w:hAnsi="宋体"/>
          <w:b/>
          <w:color w:val="auto"/>
          <w:sz w:val="28"/>
        </w:rPr>
        <w:t>复查计划</w:t>
      </w:r>
      <w:r>
        <w:rPr>
          <w:rFonts w:hint="eastAsia" w:ascii="宋体" w:hAnsi="宋体"/>
          <w:b/>
          <w:color w:val="auto"/>
          <w:sz w:val="28"/>
        </w:rPr>
        <w:t>名</w:t>
      </w:r>
      <w:r>
        <w:rPr>
          <w:rFonts w:ascii="宋体" w:hAnsi="宋体"/>
          <w:b/>
          <w:color w:val="auto"/>
          <w:sz w:val="28"/>
        </w:rPr>
        <w:t>单。</w:t>
      </w:r>
    </w:p>
    <w:p>
      <w:pPr>
        <w:spacing w:line="336" w:lineRule="auto"/>
        <w:ind w:firstLine="560"/>
        <w:rPr>
          <w:rFonts w:ascii="宋体" w:hAnsi="宋体"/>
          <w:color w:val="auto"/>
          <w:sz w:val="28"/>
        </w:rPr>
      </w:pPr>
      <w:r>
        <w:rPr>
          <w:rFonts w:hint="eastAsia" w:ascii="宋体" w:hAnsi="宋体"/>
          <w:color w:val="auto"/>
          <w:sz w:val="28"/>
        </w:rPr>
        <w:t>现场</w:t>
      </w:r>
      <w:r>
        <w:rPr>
          <w:rFonts w:ascii="宋体" w:hAnsi="宋体"/>
          <w:color w:val="auto"/>
          <w:sz w:val="28"/>
        </w:rPr>
        <w:t>复查工程的评分采用扣分法，本细则重点列出了在资料、设计图纸及说明、总体印象、功能布局、色彩效果及灯光效果、节能及新技术新材料应用、业主评价等七个方面的常见质量通病和涉及安全和使用的问题，结合复查中查出的问题进行扣分。工程复查总分为100分。详细分项和扣分值见附表。</w:t>
      </w:r>
    </w:p>
    <w:p>
      <w:pPr>
        <w:spacing w:line="336" w:lineRule="auto"/>
        <w:ind w:firstLine="560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表中所列均为工程复查的必查和主查内容，各复查小组可根据工程实际情况，作必要的补充和调整，但必查项目不可取消。</w:t>
      </w:r>
    </w:p>
    <w:p>
      <w:pPr>
        <w:spacing w:line="336" w:lineRule="auto"/>
        <w:ind w:firstLine="560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复查评分严格按照下列各项要求及扣分值进行复查评分，并将各大项评分记录在申报表工程复查表中，扣分应在复查记实栏中作详细说明。</w:t>
      </w:r>
    </w:p>
    <w:p>
      <w:pPr>
        <w:numPr>
          <w:ilvl w:val="0"/>
          <w:numId w:val="2"/>
        </w:numPr>
        <w:spacing w:line="336" w:lineRule="auto"/>
        <w:ind w:firstLine="560"/>
        <w:rPr>
          <w:rFonts w:ascii="宋体" w:hAnsi="宋体"/>
          <w:b/>
          <w:color w:val="auto"/>
          <w:sz w:val="28"/>
        </w:rPr>
      </w:pPr>
      <w:r>
        <w:rPr>
          <w:rFonts w:ascii="宋体" w:hAnsi="宋体"/>
          <w:b/>
          <w:color w:val="auto"/>
          <w:sz w:val="28"/>
        </w:rPr>
        <w:t>主要执行规范和标准：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1．《民用建筑设计通则》GB 50352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2．《建筑设计防火规范》GB 50016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3．《建筑</w:t>
      </w:r>
      <w:r>
        <w:rPr>
          <w:rFonts w:hint="eastAsia" w:ascii="宋体" w:hAnsi="宋体"/>
          <w:color w:val="auto"/>
          <w:sz w:val="28"/>
        </w:rPr>
        <w:t>内部装修</w:t>
      </w:r>
      <w:r>
        <w:rPr>
          <w:rFonts w:ascii="宋体" w:hAnsi="宋体"/>
          <w:color w:val="auto"/>
          <w:sz w:val="28"/>
        </w:rPr>
        <w:t>设计防火规范》GB 50</w:t>
      </w:r>
      <w:r>
        <w:rPr>
          <w:rFonts w:hint="eastAsia" w:ascii="宋体" w:hAnsi="宋体"/>
          <w:color w:val="auto"/>
          <w:sz w:val="28"/>
        </w:rPr>
        <w:t>222</w:t>
      </w:r>
    </w:p>
    <w:p>
      <w:pPr>
        <w:spacing w:line="336" w:lineRule="auto"/>
        <w:rPr>
          <w:rFonts w:hint="eastAsia"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4．《人民防空工程设计防火规范》GB 50098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5．《汽车库、修车库、停车场设计防火规范》GB 50067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hint="eastAsia" w:ascii="宋体" w:hAnsi="宋体"/>
          <w:color w:val="auto"/>
          <w:sz w:val="28"/>
        </w:rPr>
        <w:t>6.</w:t>
      </w:r>
      <w:r>
        <w:rPr>
          <w:rFonts w:ascii="宋体" w:hAnsi="宋体"/>
          <w:color w:val="auto"/>
          <w:sz w:val="28"/>
        </w:rPr>
        <w:t xml:space="preserve"> </w:t>
      </w:r>
      <w:r>
        <w:rPr>
          <w:rFonts w:hint="eastAsia" w:ascii="宋体" w:hAnsi="宋体"/>
          <w:color w:val="auto"/>
          <w:sz w:val="28"/>
        </w:rPr>
        <w:t>《建筑结构荷载规范》GB50009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 xml:space="preserve">7. </w:t>
      </w:r>
      <w:r>
        <w:rPr>
          <w:rFonts w:hint="eastAsia" w:ascii="宋体" w:hAnsi="宋体"/>
          <w:color w:val="auto"/>
          <w:sz w:val="28"/>
        </w:rPr>
        <w:t>《建筑抗震设计规范》GB50011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 xml:space="preserve">8. </w:t>
      </w:r>
      <w:r>
        <w:rPr>
          <w:rFonts w:hint="eastAsia" w:ascii="宋体" w:hAnsi="宋体"/>
          <w:color w:val="auto"/>
          <w:sz w:val="28"/>
        </w:rPr>
        <w:t>《建筑物防雷设计规范》GB 50057</w:t>
      </w:r>
    </w:p>
    <w:p>
      <w:pPr>
        <w:spacing w:line="336" w:lineRule="auto"/>
        <w:rPr>
          <w:rFonts w:hint="eastAsia"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9．《民用建筑电气设计规范》JGJ16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10．《住宅设计规范》GB 50096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11</w:t>
      </w:r>
      <w:r>
        <w:rPr>
          <w:rFonts w:hint="eastAsia" w:ascii="宋体" w:hAnsi="宋体"/>
          <w:color w:val="auto"/>
          <w:sz w:val="28"/>
        </w:rPr>
        <w:t>.</w:t>
      </w:r>
      <w:r>
        <w:rPr>
          <w:rFonts w:ascii="宋体" w:hAnsi="宋体"/>
          <w:color w:val="auto"/>
          <w:sz w:val="28"/>
        </w:rPr>
        <w:t xml:space="preserve"> 《住宅建筑规范》50368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12．《中小学校建筑设计规范》GBJ 99</w:t>
      </w:r>
    </w:p>
    <w:p>
      <w:pPr>
        <w:spacing w:line="336" w:lineRule="auto"/>
        <w:rPr>
          <w:rFonts w:hint="eastAsia"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13．《托儿所幼儿园建筑设计规范》JGJ 39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14．《图书馆建筑设计规范》JGJ 38</w:t>
      </w:r>
    </w:p>
    <w:p>
      <w:pPr>
        <w:spacing w:line="336" w:lineRule="auto"/>
        <w:rPr>
          <w:rFonts w:hint="eastAsia"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 xml:space="preserve">15．《剧场建筑设计规范》JGJ 57 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16．《办公建筑设计规范》JGJ 67</w:t>
      </w:r>
    </w:p>
    <w:p>
      <w:pPr>
        <w:spacing w:line="336" w:lineRule="auto"/>
        <w:rPr>
          <w:rFonts w:hint="eastAsia"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17．《综合医院建筑设计规范》JGJ 49</w:t>
      </w:r>
    </w:p>
    <w:p>
      <w:pPr>
        <w:spacing w:line="336" w:lineRule="auto"/>
        <w:rPr>
          <w:rFonts w:hint="eastAsia"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18．《旅馆建筑设计规范》JGJ 62</w:t>
      </w:r>
    </w:p>
    <w:p>
      <w:pPr>
        <w:spacing w:line="336" w:lineRule="auto"/>
        <w:rPr>
          <w:rFonts w:hint="eastAsia"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19．《商店建筑设计规范》JGJ 48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20．《汽车库建筑设计规范》JGJ l00</w:t>
      </w:r>
    </w:p>
    <w:p>
      <w:pPr>
        <w:spacing w:line="336" w:lineRule="auto"/>
        <w:rPr>
          <w:rFonts w:hint="eastAsia"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21．《饮食建筑设计</w:t>
      </w:r>
      <w:r>
        <w:rPr>
          <w:rFonts w:hint="eastAsia" w:ascii="宋体" w:hAnsi="宋体"/>
          <w:color w:val="auto"/>
          <w:sz w:val="28"/>
        </w:rPr>
        <w:t>标准</w:t>
      </w:r>
      <w:r>
        <w:rPr>
          <w:rFonts w:ascii="宋体" w:hAnsi="宋体"/>
          <w:color w:val="auto"/>
          <w:sz w:val="28"/>
        </w:rPr>
        <w:t>》JGJ 64</w:t>
      </w:r>
    </w:p>
    <w:p>
      <w:pPr>
        <w:spacing w:line="336" w:lineRule="auto"/>
        <w:rPr>
          <w:rFonts w:hint="eastAsia"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22．《锅炉房设计规范》GB 50041</w:t>
      </w:r>
    </w:p>
    <w:p>
      <w:pPr>
        <w:spacing w:line="336" w:lineRule="auto"/>
        <w:rPr>
          <w:rFonts w:hint="eastAsia"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23．《宿舍建筑设计规范》JGJ36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24．《电子计算机机房设计规范》GB 50174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hint="eastAsia" w:ascii="宋体" w:hAnsi="宋体"/>
          <w:color w:val="auto"/>
          <w:sz w:val="28"/>
        </w:rPr>
        <w:t>25</w:t>
      </w:r>
      <w:r>
        <w:rPr>
          <w:rFonts w:ascii="宋体" w:hAnsi="宋体"/>
          <w:color w:val="auto"/>
          <w:sz w:val="28"/>
        </w:rPr>
        <w:t>．《体育建筑设计规范》JGJ31</w:t>
      </w:r>
    </w:p>
    <w:p>
      <w:pPr>
        <w:spacing w:line="336" w:lineRule="auto"/>
        <w:rPr>
          <w:rFonts w:hint="eastAsia"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26．《电影院建筑设计规范》JGJ58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27．《人防地下室设计规范》GB 50038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28．《民用建筑设置锅炉房消防设计规定》DBJ 01</w:t>
      </w:r>
    </w:p>
    <w:p>
      <w:pPr>
        <w:spacing w:line="336" w:lineRule="auto"/>
        <w:rPr>
          <w:rFonts w:hint="eastAsia"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29．《建筑玻璃应用技术规程》JGJ113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30．《玻璃幕墙工程技术规范》JGJ102</w:t>
      </w:r>
    </w:p>
    <w:p>
      <w:pPr>
        <w:spacing w:line="336" w:lineRule="auto"/>
        <w:rPr>
          <w:rFonts w:hint="eastAsia"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31</w:t>
      </w:r>
      <w:r>
        <w:rPr>
          <w:rFonts w:hint="eastAsia" w:ascii="宋体" w:hAnsi="宋体"/>
          <w:color w:val="auto"/>
          <w:sz w:val="28"/>
        </w:rPr>
        <w:t>.  《金属与石材幕墙工程技术规范》JGJ133</w:t>
      </w:r>
    </w:p>
    <w:p>
      <w:pPr>
        <w:spacing w:line="336" w:lineRule="auto"/>
        <w:rPr>
          <w:rFonts w:hint="eastAsia"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32</w:t>
      </w:r>
      <w:r>
        <w:rPr>
          <w:rFonts w:hint="eastAsia" w:ascii="宋体" w:hAnsi="宋体"/>
          <w:color w:val="auto"/>
          <w:sz w:val="28"/>
        </w:rPr>
        <w:t>.  《人造板材幕墙工程技术规范》JGJ336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33．《公共建筑节能设计标准》GB50189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 xml:space="preserve">34. </w:t>
      </w:r>
      <w:r>
        <w:rPr>
          <w:rFonts w:hint="eastAsia" w:ascii="宋体" w:hAnsi="宋体"/>
          <w:color w:val="auto"/>
          <w:sz w:val="28"/>
        </w:rPr>
        <w:t>《夏热冬暖地区居住建筑节能设计标准》JGJ75</w:t>
      </w:r>
    </w:p>
    <w:p>
      <w:pPr>
        <w:spacing w:line="336" w:lineRule="auto"/>
        <w:rPr>
          <w:rFonts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35．《夏热冬冷地区居住建筑节能设计标准》JGJ134</w:t>
      </w:r>
    </w:p>
    <w:p>
      <w:pPr>
        <w:spacing w:line="336" w:lineRule="auto"/>
        <w:rPr>
          <w:rFonts w:hint="eastAsia" w:ascii="宋体" w:hAnsi="宋体"/>
          <w:color w:val="auto"/>
          <w:sz w:val="28"/>
        </w:rPr>
      </w:pPr>
      <w:r>
        <w:rPr>
          <w:rFonts w:ascii="宋体" w:hAnsi="宋体"/>
          <w:color w:val="auto"/>
          <w:sz w:val="28"/>
        </w:rPr>
        <w:t>36．《建筑工程文件归档整理规范》GB/T50328</w:t>
      </w:r>
    </w:p>
    <w:p>
      <w:pPr>
        <w:spacing w:line="336" w:lineRule="auto"/>
        <w:rPr>
          <w:rFonts w:hint="eastAsia" w:ascii="仿宋_GB2312" w:hAnsi="仿宋_GB2312" w:eastAsia="Arial Unicode MS" w:cs="仿宋_GB2312"/>
          <w:color w:val="auto"/>
          <w:kern w:val="1"/>
          <w:sz w:val="28"/>
          <w:szCs w:val="28"/>
        </w:rPr>
      </w:pPr>
    </w:p>
    <w:p>
      <w:pPr>
        <w:spacing w:line="336" w:lineRule="auto"/>
        <w:rPr>
          <w:rFonts w:ascii="仿宋_GB2312" w:hAnsi="仿宋_GB2312" w:eastAsia="Arial Unicode MS" w:cs="仿宋_GB2312"/>
          <w:color w:val="auto"/>
          <w:kern w:val="1"/>
          <w:sz w:val="28"/>
          <w:szCs w:val="28"/>
        </w:rPr>
      </w:pPr>
    </w:p>
    <w:p>
      <w:pPr>
        <w:rPr>
          <w:rFonts w:ascii="宋体" w:hAnsi="宋体" w:cs="仿宋_GB2312"/>
          <w:b/>
          <w:color w:val="auto"/>
          <w:kern w:val="1"/>
          <w:sz w:val="28"/>
          <w:szCs w:val="28"/>
        </w:rPr>
      </w:pPr>
      <w:r>
        <w:rPr>
          <w:rFonts w:ascii="宋体" w:hAnsi="宋体" w:cs="仿宋_GB2312"/>
          <w:b/>
          <w:color w:val="auto"/>
          <w:kern w:val="1"/>
          <w:sz w:val="28"/>
          <w:szCs w:val="28"/>
        </w:rPr>
        <w:t>三、复查内容：</w:t>
      </w:r>
    </w:p>
    <w:p>
      <w:pPr>
        <w:jc w:val="left"/>
        <w:rPr>
          <w:rFonts w:hint="eastAsia"/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申报单位：</w:t>
      </w:r>
      <w:r>
        <w:rPr>
          <w:rFonts w:hint="eastAsia"/>
          <w:bCs/>
          <w:color w:val="auto"/>
          <w:szCs w:val="21"/>
        </w:rPr>
        <w:t xml:space="preserve">                               </w:t>
      </w:r>
      <w:r>
        <w:rPr>
          <w:rFonts w:hint="eastAsia"/>
          <w:b/>
          <w:bCs/>
          <w:color w:val="auto"/>
          <w:szCs w:val="21"/>
        </w:rPr>
        <w:t>工程名称：</w:t>
      </w:r>
    </w:p>
    <w:tbl>
      <w:tblPr>
        <w:tblStyle w:val="4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160"/>
        <w:gridCol w:w="2867"/>
        <w:gridCol w:w="850"/>
        <w:gridCol w:w="603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21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21"/>
              </w:rPr>
              <w:t>复查项目</w:t>
            </w:r>
          </w:p>
        </w:tc>
        <w:tc>
          <w:tcPr>
            <w:tcW w:w="28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21"/>
              </w:rPr>
              <w:t>扣分标准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21"/>
              </w:rPr>
              <w:t>否决项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21"/>
              </w:rPr>
              <w:t>标准分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21"/>
              </w:rPr>
              <w:t>实得分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21"/>
              </w:rPr>
              <w:t>复查方法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exact"/>
              <w:rPr>
                <w:b/>
                <w:bCs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21"/>
              </w:rPr>
              <w:t>企业营业执照、设计资质、主要设计人员技术职称证书（或电子证书）；</w:t>
            </w:r>
          </w:p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21"/>
              </w:rPr>
              <w:t>设计合同；</w:t>
            </w:r>
          </w:p>
        </w:tc>
        <w:tc>
          <w:tcPr>
            <w:tcW w:w="2867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企业营业执照（  ）、设计资质（  ）、主要设计人员技术职称证书（  ）；设计合同（  ）、</w:t>
            </w:r>
            <w:r>
              <w:rPr>
                <w:rFonts w:hint="eastAsia" w:ascii="宋体" w:hAnsi="宋体" w:cs="仿宋_GB2312"/>
                <w:color w:val="auto"/>
                <w:kern w:val="1"/>
                <w:sz w:val="18"/>
                <w:szCs w:val="18"/>
              </w:rPr>
              <w:t>建设工程竣工验收消防备案凭证</w:t>
            </w:r>
            <w:r>
              <w:rPr>
                <w:rFonts w:hint="eastAsia"/>
                <w:color w:val="auto"/>
                <w:sz w:val="18"/>
                <w:szCs w:val="21"/>
              </w:rPr>
              <w:t>（  ）、工程竣工验收报告（  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color w:val="auto"/>
                <w:sz w:val="18"/>
                <w:szCs w:val="21"/>
              </w:rPr>
              <w:t>缺相关必要的资料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color w:val="auto"/>
                <w:sz w:val="18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查：企业资质、资料原件或盖有存档单位印章的复印件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1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2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b/>
                <w:bCs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21"/>
              </w:rPr>
              <w:t>1．方案设计图纸（含效果图）及说明</w:t>
            </w:r>
          </w:p>
          <w:p>
            <w:pPr>
              <w:spacing w:line="240" w:lineRule="exact"/>
              <w:rPr>
                <w:rFonts w:hint="eastAsia"/>
                <w:b/>
                <w:bCs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21"/>
              </w:rPr>
              <w:t>2.施工图设计说明：</w:t>
            </w:r>
          </w:p>
          <w:p>
            <w:pPr>
              <w:spacing w:line="240" w:lineRule="exact"/>
              <w:rPr>
                <w:b/>
                <w:bCs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21"/>
              </w:rPr>
              <w:t>3．施工图纸：</w:t>
            </w:r>
          </w:p>
          <w:p>
            <w:pPr>
              <w:spacing w:line="240" w:lineRule="exact"/>
              <w:rPr>
                <w:rFonts w:hint="eastAsia"/>
                <w:b/>
                <w:bCs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21"/>
              </w:rPr>
              <w:t>内容应包括但不限于：</w:t>
            </w:r>
          </w:p>
          <w:p>
            <w:pPr>
              <w:spacing w:line="240" w:lineRule="exact"/>
              <w:ind w:firstLine="90" w:firstLineChars="50"/>
              <w:rPr>
                <w:rFonts w:hint="eastAsia"/>
                <w:b/>
                <w:bCs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21"/>
              </w:rPr>
              <w:t>1）工程所有的平面、立面、剖面图，主要节点图、构件图等；</w:t>
            </w:r>
          </w:p>
          <w:p>
            <w:pPr>
              <w:spacing w:line="240" w:lineRule="exact"/>
              <w:ind w:firstLine="90" w:firstLineChars="50"/>
              <w:rPr>
                <w:rFonts w:hint="eastAsia"/>
                <w:b/>
                <w:bCs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21"/>
              </w:rPr>
              <w:t>2）所有专业图纸；（包括暖通、空调、给排水、强弱电、建筑智能化等）</w:t>
            </w:r>
          </w:p>
          <w:p>
            <w:pPr>
              <w:spacing w:line="240" w:lineRule="exact"/>
              <w:rPr>
                <w:rFonts w:hint="eastAsia"/>
                <w:b/>
                <w:bCs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21"/>
              </w:rPr>
              <w:t xml:space="preserve"> 3）图纸应完整、清晰，审批手续齐全并盖有出图章；</w:t>
            </w:r>
          </w:p>
          <w:p>
            <w:pPr>
              <w:spacing w:line="240" w:lineRule="exact"/>
              <w:rPr>
                <w:rFonts w:hint="eastAsia"/>
                <w:b/>
                <w:bCs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21"/>
              </w:rPr>
              <w:t>4）幕墙结构设计计算书。</w:t>
            </w:r>
          </w:p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21"/>
              </w:rPr>
              <w:t>5）幕墙热工计算书。</w:t>
            </w:r>
          </w:p>
        </w:tc>
        <w:tc>
          <w:tcPr>
            <w:tcW w:w="2867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一．方案设计图纸（含效果图）及说明</w:t>
            </w:r>
          </w:p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1)方案总体设计布局合理性；10分(  )</w:t>
            </w:r>
          </w:p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2）设计构思新颖性，风格独特性；10分（  ）</w:t>
            </w:r>
          </w:p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3）在节能绿色环保方面是否有所创新；5分（  ）</w:t>
            </w:r>
          </w:p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二．施工图</w:t>
            </w:r>
          </w:p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1. 施工图、设计说明、计算书中每出现一处差错扣1～2分；（  ）</w:t>
            </w:r>
          </w:p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2. 图纸未经审批没盖出图章扣3～5分；（  ）</w:t>
            </w:r>
          </w:p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3．部分平面、立面、剖面图，主要节点图不全或有错误,每一项扣2～5分；（  ）</w:t>
            </w:r>
          </w:p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4．节点设计不符合标准、规范要求每发现1处扣5分；（  ）</w:t>
            </w:r>
          </w:p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5．施工图与工程现场不符并未有变更，每发现一处扣3～5分；（  ）</w:t>
            </w:r>
          </w:p>
          <w:p>
            <w:pPr>
              <w:spacing w:line="240" w:lineRule="exact"/>
              <w:rPr>
                <w:rFonts w:hint="eastAsia"/>
                <w:b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6．</w:t>
            </w:r>
            <w:r>
              <w:rPr>
                <w:rFonts w:hint="eastAsia"/>
                <w:b/>
                <w:color w:val="auto"/>
                <w:sz w:val="18"/>
                <w:szCs w:val="21"/>
              </w:rPr>
              <w:t>缺工程主要施工图纸、计算书或工程施工图存在严重问题（否决项  ）</w:t>
            </w:r>
          </w:p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color w:val="auto"/>
                <w:sz w:val="18"/>
                <w:szCs w:val="21"/>
              </w:rPr>
              <w:t>7. 图纸违反国家强制性规范（ 否决项 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/>
                <w:b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color w:val="auto"/>
                <w:sz w:val="18"/>
                <w:szCs w:val="21"/>
              </w:rPr>
              <w:t>1.缺工程主要施工图纸、计算书或施工图存在严重质量问题。</w:t>
            </w:r>
          </w:p>
          <w:p>
            <w:pPr>
              <w:spacing w:line="240" w:lineRule="exact"/>
              <w:jc w:val="left"/>
              <w:rPr>
                <w:rFonts w:hint="eastAsia"/>
                <w:b/>
                <w:color w:val="auto"/>
                <w:sz w:val="18"/>
                <w:szCs w:val="21"/>
              </w:rPr>
            </w:pPr>
            <w:r>
              <w:rPr>
                <w:rFonts w:hint="eastAsia"/>
                <w:b/>
                <w:color w:val="auto"/>
                <w:sz w:val="18"/>
                <w:szCs w:val="21"/>
              </w:rPr>
              <w:t>2.图纸违反国家强制性规范。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35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color w:val="auto"/>
                <w:sz w:val="18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查：</w:t>
            </w:r>
          </w:p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1.施工图纸的设计说明、施工图纸和计算书；</w:t>
            </w:r>
          </w:p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2.工程现场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3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总体印象</w:t>
            </w:r>
          </w:p>
        </w:tc>
        <w:tc>
          <w:tcPr>
            <w:tcW w:w="2867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color w:val="auto"/>
                <w:sz w:val="18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查：1.施工图纸；</w:t>
            </w:r>
          </w:p>
          <w:p>
            <w:pPr>
              <w:spacing w:line="240" w:lineRule="exact"/>
              <w:jc w:val="lef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2.工程现场。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4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功能布局(包括交通组织)</w:t>
            </w:r>
          </w:p>
        </w:tc>
        <w:tc>
          <w:tcPr>
            <w:tcW w:w="2867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color w:val="auto"/>
                <w:sz w:val="18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查：1.施工图纸；</w:t>
            </w:r>
          </w:p>
          <w:p>
            <w:pPr>
              <w:spacing w:line="240" w:lineRule="exact"/>
              <w:jc w:val="lef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2.工程现场。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5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色彩效果及灯光效果</w:t>
            </w:r>
          </w:p>
        </w:tc>
        <w:tc>
          <w:tcPr>
            <w:tcW w:w="2867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color w:val="auto"/>
                <w:sz w:val="18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查：1.施工图纸；</w:t>
            </w:r>
          </w:p>
          <w:p>
            <w:pPr>
              <w:spacing w:line="240" w:lineRule="exact"/>
              <w:jc w:val="lef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2.工程现场。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6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采取有效的建筑节能措施,工程采用新材料、新工艺</w:t>
            </w:r>
          </w:p>
        </w:tc>
        <w:tc>
          <w:tcPr>
            <w:tcW w:w="2867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建筑节能措施并提供证据(根据工程情况可打1～5分) 采用新材料(     )、新工艺(    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color w:val="auto"/>
                <w:sz w:val="18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查：1.施工图纸；</w:t>
            </w:r>
          </w:p>
          <w:p>
            <w:pPr>
              <w:spacing w:line="240" w:lineRule="exact"/>
              <w:jc w:val="lef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2.工程使用材料；</w:t>
            </w:r>
          </w:p>
          <w:p>
            <w:pPr>
              <w:spacing w:line="240" w:lineRule="exact"/>
              <w:jc w:val="left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3.工程现场。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7</w:t>
            </w:r>
          </w:p>
        </w:tc>
        <w:tc>
          <w:tcPr>
            <w:tcW w:w="5877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业主评价、PPT汇报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color w:val="auto"/>
                <w:sz w:val="18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8</w:t>
            </w:r>
          </w:p>
        </w:tc>
        <w:tc>
          <w:tcPr>
            <w:tcW w:w="5877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总分合计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100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color w:val="auto"/>
                <w:sz w:val="18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9</w:t>
            </w:r>
          </w:p>
        </w:tc>
        <w:tc>
          <w:tcPr>
            <w:tcW w:w="9000" w:type="dxa"/>
            <w:gridSpan w:val="6"/>
            <w:noWrap w:val="0"/>
            <w:vAlign w:val="top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复查组检查综述：</w:t>
            </w:r>
          </w:p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 xml:space="preserve">     1.本工程复查实得分为:(      )分；</w:t>
            </w:r>
          </w:p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 xml:space="preserve">     2.工程有无存在否决项: (有 或 无),若存在否决项时,否决项是：</w:t>
            </w:r>
          </w:p>
        </w:tc>
      </w:tr>
    </w:tbl>
    <w:p>
      <w:pPr>
        <w:spacing w:line="324" w:lineRule="auto"/>
        <w:rPr>
          <w:color w:val="auto"/>
          <w:kern w:val="1"/>
        </w:rPr>
      </w:pPr>
    </w:p>
    <w:p/>
    <w:sectPr>
      <w:headerReference r:id="rId3" w:type="default"/>
      <w:footerReference r:id="rId4" w:type="default"/>
      <w:pgSz w:w="11906" w:h="16838"/>
      <w:pgMar w:top="1417" w:right="1417" w:bottom="1417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E1278B"/>
    <w:multiLevelType w:val="singleLevel"/>
    <w:tmpl w:val="E0E127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539A67"/>
    <w:multiLevelType w:val="singleLevel"/>
    <w:tmpl w:val="38539A6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A67FC"/>
    <w:rsid w:val="780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2021-12-06T14:44:00Z</dcterms:created>
  <dc:creator>Zr9</dc:creator>
  <cp:lastModifiedBy>Zr9</cp:lastModifiedBy>
  <dcterms:modified xsi:type="dcterms:W3CDTF">2021-12-06T14:47:51Z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5118FADB12274D02A58D5417212C52EC</vt:lpwstr>
  </property>
</Properties>
</file>